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113</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419260</w:t>
      </w:r>
    </w:p>
    <w:p>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ascii="Arial" w:hAnsi="Arial" w:eastAsia="宋体" w:cs="Arial"/>
          <w:b/>
          <w:sz w:val="24"/>
          <w:szCs w:val="24"/>
          <w:lang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core maintenance of SCell activation delay reduction</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5.11.1</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2"/>
        <w:tabs>
          <w:tab w:val="left" w:pos="226"/>
          <w:tab w:val="left" w:pos="284"/>
          <w:tab w:val="left" w:pos="5103"/>
        </w:tabs>
        <w:snapToGrid w:val="0"/>
        <w:rPr>
          <w:rFonts w:hint="default" w:eastAsia="宋体"/>
          <w:bCs/>
          <w:color w:val="auto"/>
          <w:sz w:val="20"/>
          <w:szCs w:val="20"/>
          <w:lang w:val="en-US" w:eastAsia="zh-CN"/>
        </w:rPr>
      </w:pPr>
      <w:r>
        <w:rPr>
          <w:rFonts w:hint="eastAsia" w:eastAsia="宋体"/>
          <w:bCs/>
          <w:color w:val="auto"/>
          <w:sz w:val="20"/>
          <w:szCs w:val="20"/>
          <w:lang w:val="en-US" w:eastAsia="zh-CN"/>
        </w:rPr>
        <w:t>The core part has been basically finished and good progress were achieved. Still some small maintenance issues with respect to the core part were proposed during last meeting but no consensus. In this paper, we provide our views on the remaining issues of core part.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widowControl w:val="0"/>
        <w:numPr>
          <w:ilvl w:val="0"/>
          <w:numId w:val="0"/>
        </w:numPr>
        <w:ind w:leftChars="0"/>
        <w:jc w:val="both"/>
        <w:rPr>
          <w:rFonts w:hint="default" w:eastAsia="宋体"/>
          <w:b/>
          <w:bCs/>
          <w:color w:val="auto"/>
          <w:sz w:val="20"/>
          <w:szCs w:val="20"/>
          <w:u w:val="single"/>
          <w:lang w:val="en-US" w:eastAsia="zh-CN"/>
        </w:rPr>
      </w:pPr>
      <w:r>
        <w:rPr>
          <w:rFonts w:hint="eastAsia" w:eastAsia="宋体"/>
          <w:b/>
          <w:bCs/>
          <w:color w:val="auto"/>
          <w:sz w:val="20"/>
          <w:szCs w:val="20"/>
          <w:u w:val="single"/>
          <w:lang w:val="en-US" w:eastAsia="zh-CN"/>
        </w:rPr>
        <w:t>Uncertainty part for SCell activation requirement with L3 reporting:</w:t>
      </w:r>
    </w:p>
    <w:p>
      <w:pPr>
        <w:pStyle w:val="12"/>
        <w:tabs>
          <w:tab w:val="left" w:pos="226"/>
          <w:tab w:val="left" w:pos="284"/>
          <w:tab w:val="left" w:pos="5103"/>
        </w:tabs>
        <w:snapToGrid w:val="0"/>
        <w:rPr>
          <w:rFonts w:hint="eastAsia" w:eastAsia="宋体"/>
          <w:bCs/>
          <w:color w:val="auto"/>
          <w:sz w:val="20"/>
          <w:szCs w:val="20"/>
          <w:lang w:val="en-US" w:eastAsia="zh-CN"/>
        </w:rPr>
      </w:pPr>
      <w:r>
        <w:rPr>
          <w:rFonts w:hint="eastAsia" w:eastAsia="宋体"/>
          <w:bCs/>
          <w:color w:val="auto"/>
          <w:sz w:val="20"/>
          <w:szCs w:val="20"/>
          <w:lang w:val="en-US" w:eastAsia="zh-CN"/>
        </w:rPr>
        <w:t>During last meeting, this issue was raised by company since it is relevant how to capture the uncertainty delay in the requirements. In the existing requirements, three uncertainty parts are involved in, i.e. T</w:t>
      </w:r>
      <w:r>
        <w:rPr>
          <w:rFonts w:hint="eastAsia" w:eastAsia="宋体"/>
          <w:bCs/>
          <w:color w:val="auto"/>
          <w:sz w:val="13"/>
          <w:szCs w:val="13"/>
          <w:lang w:val="en-US" w:eastAsia="zh-CN"/>
        </w:rPr>
        <w:t>uncertainty_MAC</w:t>
      </w:r>
      <w:r>
        <w:rPr>
          <w:rFonts w:hint="eastAsia" w:eastAsia="宋体"/>
          <w:bCs/>
          <w:color w:val="auto"/>
          <w:sz w:val="20"/>
          <w:szCs w:val="20"/>
          <w:lang w:val="en-US" w:eastAsia="zh-CN"/>
        </w:rPr>
        <w:t>, T</w:t>
      </w:r>
      <w:r>
        <w:rPr>
          <w:rFonts w:hint="eastAsia" w:eastAsia="宋体"/>
          <w:bCs/>
          <w:color w:val="auto"/>
          <w:sz w:val="13"/>
          <w:szCs w:val="13"/>
          <w:lang w:val="en-US" w:eastAsia="zh-CN"/>
        </w:rPr>
        <w:t>uncertainty_RRC</w:t>
      </w:r>
      <w:r>
        <w:rPr>
          <w:rFonts w:hint="eastAsia" w:eastAsia="宋体"/>
          <w:bCs/>
          <w:color w:val="auto"/>
          <w:sz w:val="20"/>
          <w:szCs w:val="20"/>
          <w:lang w:val="en-US" w:eastAsia="zh-CN"/>
        </w:rPr>
        <w:t xml:space="preserve"> and T</w:t>
      </w:r>
      <w:r>
        <w:rPr>
          <w:rFonts w:hint="eastAsia" w:eastAsia="宋体"/>
          <w:bCs/>
          <w:color w:val="auto"/>
          <w:sz w:val="13"/>
          <w:szCs w:val="13"/>
          <w:lang w:val="en-US" w:eastAsia="zh-CN"/>
        </w:rPr>
        <w:t>uncertainty_SP</w:t>
      </w:r>
      <w:r>
        <w:rPr>
          <w:rFonts w:hint="eastAsia" w:eastAsia="宋体"/>
          <w:bCs/>
          <w:color w:val="auto"/>
          <w:sz w:val="20"/>
          <w:szCs w:val="20"/>
          <w:lang w:val="en-US" w:eastAsia="zh-CN"/>
        </w:rPr>
        <w:t xml:space="preserve">. Currently the unsure case is when UE sends L1 reports earlier than L3 reports and L3 report is later than TCI activation command. </w:t>
      </w:r>
    </w:p>
    <w:p>
      <w:pPr>
        <w:pStyle w:val="12"/>
        <w:tabs>
          <w:tab w:val="left" w:pos="226"/>
          <w:tab w:val="left" w:pos="284"/>
          <w:tab w:val="left" w:pos="5103"/>
        </w:tabs>
        <w:snapToGrid w:val="0"/>
        <w:rPr>
          <w:rFonts w:hint="default" w:eastAsia="宋体"/>
          <w:bCs/>
          <w:color w:val="auto"/>
          <w:sz w:val="20"/>
          <w:szCs w:val="20"/>
          <w:lang w:val="en-US" w:eastAsia="zh-CN"/>
        </w:rPr>
      </w:pPr>
      <w:r>
        <w:rPr>
          <w:rFonts w:hint="eastAsia" w:eastAsia="宋体"/>
          <w:bCs/>
          <w:color w:val="auto"/>
          <w:sz w:val="20"/>
          <w:szCs w:val="20"/>
          <w:lang w:val="en-US" w:eastAsia="zh-CN"/>
        </w:rPr>
        <w:t>Under this case, actually NW determines the TCI state based on L1 reports, but UE is unknown about this, so UE is still preparing L3 report and wait for the UL resource scheduling within the waiting window, as long as UE derives UL resource then UE sends the L3 reports. The timeline of this case was shown as below in [1].</w:t>
      </w:r>
    </w:p>
    <w:p>
      <w:r>
        <w:object>
          <v:shape id="_x0000_i1025" o:spt="75" type="#_x0000_t75" style="height:101.15pt;width:477.8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jc w:val="center"/>
        <w:rPr>
          <w:rFonts w:eastAsiaTheme="minorEastAsia"/>
          <w:lang w:eastAsia="zh-CN"/>
        </w:rPr>
      </w:pPr>
      <w:r>
        <w:rPr>
          <w:rFonts w:hint="eastAsia" w:eastAsiaTheme="minorEastAsia"/>
          <w:lang w:eastAsia="zh-CN"/>
        </w:rPr>
        <w:t>Fig</w:t>
      </w:r>
      <w:r>
        <w:rPr>
          <w:rFonts w:eastAsiaTheme="minorEastAsia"/>
          <w:lang w:eastAsia="zh-CN"/>
        </w:rPr>
        <w:t xml:space="preserve">ure 1  Timeline of R18 unknown SCell activation delay reduction with L3 reporting </w:t>
      </w:r>
    </w:p>
    <w:p>
      <w:pPr>
        <w:pStyle w:val="12"/>
        <w:tabs>
          <w:tab w:val="left" w:pos="226"/>
          <w:tab w:val="left" w:pos="284"/>
          <w:tab w:val="left" w:pos="5103"/>
        </w:tabs>
        <w:snapToGrid w:val="0"/>
        <w:rPr>
          <w:rFonts w:hint="eastAsia" w:eastAsia="宋体"/>
          <w:bCs/>
          <w:color w:val="auto"/>
          <w:sz w:val="20"/>
          <w:szCs w:val="20"/>
          <w:lang w:val="en-US" w:eastAsia="zh-CN"/>
        </w:rPr>
      </w:pPr>
      <w:r>
        <w:rPr>
          <w:rFonts w:hint="eastAsia" w:eastAsia="宋体"/>
          <w:bCs/>
          <w:color w:val="auto"/>
          <w:sz w:val="20"/>
          <w:szCs w:val="20"/>
          <w:lang w:val="en-US" w:eastAsia="zh-CN"/>
        </w:rPr>
        <w:t>If following the definition of T</w:t>
      </w:r>
      <w:r>
        <w:rPr>
          <w:rFonts w:hint="eastAsia" w:eastAsia="宋体"/>
          <w:bCs/>
          <w:color w:val="auto"/>
          <w:sz w:val="13"/>
          <w:szCs w:val="13"/>
          <w:lang w:val="en-US" w:eastAsia="zh-CN"/>
        </w:rPr>
        <w:t>uncertainty_MAC</w:t>
      </w:r>
      <w:r>
        <w:rPr>
          <w:rFonts w:hint="eastAsia" w:eastAsia="宋体"/>
          <w:bCs/>
          <w:color w:val="auto"/>
          <w:sz w:val="20"/>
          <w:szCs w:val="20"/>
          <w:lang w:val="en-US" w:eastAsia="zh-CN"/>
        </w:rPr>
        <w:t>, T</w:t>
      </w:r>
      <w:r>
        <w:rPr>
          <w:rFonts w:hint="eastAsia" w:eastAsia="宋体"/>
          <w:bCs/>
          <w:color w:val="auto"/>
          <w:sz w:val="13"/>
          <w:szCs w:val="13"/>
          <w:lang w:val="en-US" w:eastAsia="zh-CN"/>
        </w:rPr>
        <w:t>uncertainty_RRC</w:t>
      </w:r>
      <w:r>
        <w:rPr>
          <w:rFonts w:hint="eastAsia" w:eastAsia="宋体"/>
          <w:bCs/>
          <w:color w:val="auto"/>
          <w:sz w:val="20"/>
          <w:szCs w:val="20"/>
          <w:lang w:val="en-US" w:eastAsia="zh-CN"/>
        </w:rPr>
        <w:t xml:space="preserve"> and T</w:t>
      </w:r>
      <w:r>
        <w:rPr>
          <w:rFonts w:hint="eastAsia" w:eastAsia="宋体"/>
          <w:bCs/>
          <w:color w:val="auto"/>
          <w:sz w:val="13"/>
          <w:szCs w:val="13"/>
          <w:lang w:val="en-US" w:eastAsia="zh-CN"/>
        </w:rPr>
        <w:t>uncertainty_SP</w:t>
      </w:r>
      <w:r>
        <w:rPr>
          <w:rFonts w:hint="eastAsia" w:eastAsia="宋体"/>
          <w:bCs/>
          <w:color w:val="auto"/>
          <w:sz w:val="20"/>
          <w:szCs w:val="20"/>
          <w:lang w:val="en-US" w:eastAsia="zh-CN"/>
        </w:rPr>
        <w:t xml:space="preserve"> defined in 8.3.17 as below, they should be negative value.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0"/>
              <w:numPr>
                <w:ilvl w:val="0"/>
                <w:numId w:val="0"/>
              </w:numPr>
              <w:rPr>
                <w:rFonts w:hint="default" w:eastAsia="宋体"/>
                <w:highlight w:val="none"/>
                <w:u w:val="single"/>
                <w:lang w:val="en-US" w:eastAsia="zh-CN"/>
              </w:rPr>
            </w:pPr>
            <w:r>
              <w:rPr>
                <w:rFonts w:hint="eastAsia"/>
                <w:highlight w:val="none"/>
                <w:u w:val="single"/>
                <w:lang w:val="en-US" w:eastAsia="zh-CN"/>
              </w:rPr>
              <w:t>Defined in 8.3.17:</w:t>
            </w:r>
          </w:p>
          <w:p>
            <w:pPr>
              <w:pStyle w:val="60"/>
              <w:numPr>
                <w:ilvl w:val="0"/>
                <w:numId w:val="0"/>
              </w:numPr>
              <w:ind w:left="200" w:leftChars="0"/>
              <w:rPr>
                <w:highlight w:val="none"/>
              </w:rPr>
            </w:pPr>
            <w:r>
              <w:rPr>
                <w:highlight w:val="none"/>
              </w:rPr>
              <w:t>T</w:t>
            </w:r>
            <w:r>
              <w:rPr>
                <w:highlight w:val="none"/>
                <w:vertAlign w:val="subscript"/>
                <w:lang w:eastAsia="zh-CN"/>
              </w:rPr>
              <w:t>uncertainty_MAC</w:t>
            </w:r>
            <w:r>
              <w:rPr>
                <w:rFonts w:eastAsia="Malgun Gothic"/>
                <w:highlight w:val="none"/>
                <w:lang w:eastAsia="zh-CN"/>
              </w:rPr>
              <w:t xml:space="preserve"> is the time period between reception of the last activation command for </w:t>
            </w:r>
            <w:r>
              <w:rPr>
                <w:highlight w:val="none"/>
              </w:rPr>
              <w:t>PDCCH TCI, PDSCH TCI (when applicable) relative to</w:t>
            </w:r>
          </w:p>
          <w:p>
            <w:pPr>
              <w:pStyle w:val="62"/>
              <w:numPr>
                <w:ilvl w:val="0"/>
                <w:numId w:val="0"/>
              </w:numPr>
              <w:ind w:left="852" w:leftChars="0"/>
              <w:rPr>
                <w:highlight w:val="none"/>
                <w:lang w:eastAsia="zh-CN"/>
              </w:rPr>
            </w:pPr>
            <w:r>
              <w:rPr>
                <w:highlight w:val="none"/>
                <w:lang w:eastAsia="zh-CN"/>
              </w:rPr>
              <w:t>-</w:t>
            </w:r>
            <w:r>
              <w:rPr>
                <w:highlight w:val="none"/>
                <w:lang w:eastAsia="zh-CN"/>
              </w:rPr>
              <w:tab/>
            </w:r>
            <w:r>
              <w:rPr>
                <w:highlight w:val="none"/>
                <w:lang w:eastAsia="zh-CN"/>
              </w:rPr>
              <w:t xml:space="preserve">First valid L3-RSRP reporting for unknown case, when UE reports valid L3-RSRP </w:t>
            </w:r>
          </w:p>
          <w:p>
            <w:pPr>
              <w:pStyle w:val="62"/>
              <w:numPr>
                <w:ilvl w:val="0"/>
                <w:numId w:val="0"/>
              </w:numPr>
              <w:ind w:left="852" w:leftChars="0"/>
              <w:rPr>
                <w:highlight w:val="none"/>
                <w:lang w:eastAsia="zh-CN"/>
              </w:rPr>
            </w:pPr>
            <w:r>
              <w:rPr>
                <w:highlight w:val="none"/>
                <w:lang w:eastAsia="zh-CN"/>
              </w:rPr>
              <w:t>-</w:t>
            </w:r>
            <w:r>
              <w:rPr>
                <w:highlight w:val="none"/>
                <w:lang w:eastAsia="zh-CN"/>
              </w:rPr>
              <w:tab/>
            </w:r>
            <w:r>
              <w:rPr>
                <w:highlight w:val="none"/>
                <w:lang w:eastAsia="zh-CN"/>
              </w:rPr>
              <w:t>First valid L1-RSRP reporting for unknown case, when UE does not report L3-RSRP results</w:t>
            </w:r>
          </w:p>
          <w:p>
            <w:pPr>
              <w:pStyle w:val="60"/>
              <w:numPr>
                <w:ilvl w:val="0"/>
                <w:numId w:val="0"/>
              </w:numPr>
              <w:ind w:left="200" w:leftChars="0"/>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62"/>
              <w:numPr>
                <w:ilvl w:val="0"/>
                <w:numId w:val="0"/>
              </w:numPr>
              <w:ind w:left="1135" w:leftChars="0"/>
              <w:rPr>
                <w:lang w:eastAsia="zh-CN"/>
              </w:rPr>
            </w:pPr>
            <w:r>
              <w:rPr>
                <w:lang w:eastAsia="zh-CN"/>
              </w:rPr>
              <w:t>-</w:t>
            </w:r>
            <w:r>
              <w:rPr>
                <w:lang w:eastAsia="zh-CN"/>
              </w:rPr>
              <w:tab/>
            </w:r>
            <w:r>
              <w:rPr>
                <w:lang w:eastAsia="zh-CN"/>
              </w:rPr>
              <w:t>First valid L3-RSRP reporting for unknown case, when UE reports valid L3-RSRP</w:t>
            </w:r>
          </w:p>
          <w:p>
            <w:pPr>
              <w:pStyle w:val="62"/>
              <w:numPr>
                <w:ilvl w:val="0"/>
                <w:numId w:val="0"/>
              </w:numPr>
              <w:ind w:left="1135" w:leftChars="0"/>
              <w:rPr>
                <w:lang w:eastAsia="zh-CN"/>
              </w:rPr>
            </w:pPr>
            <w:r>
              <w:rPr>
                <w:lang w:eastAsia="zh-CN"/>
              </w:rPr>
              <w:t>-</w:t>
            </w:r>
            <w:r>
              <w:rPr>
                <w:lang w:eastAsia="zh-CN"/>
              </w:rPr>
              <w:tab/>
            </w:r>
            <w:r>
              <w:rPr>
                <w:lang w:eastAsia="zh-CN"/>
              </w:rPr>
              <w:t>First valid L1-RSRP reporting for unknown case, when UE does not report L3-RSRP results</w:t>
            </w:r>
          </w:p>
          <w:p>
            <w:pPr>
              <w:pStyle w:val="60"/>
              <w:numPr>
                <w:ilvl w:val="0"/>
                <w:numId w:val="0"/>
              </w:numPr>
              <w:ind w:left="200" w:leftChars="0"/>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62"/>
              <w:numPr>
                <w:ilvl w:val="0"/>
                <w:numId w:val="0"/>
              </w:numPr>
              <w:ind w:left="1135" w:leftChars="0"/>
              <w:rPr>
                <w:lang w:eastAsia="zh-CN"/>
              </w:rPr>
            </w:pPr>
            <w:r>
              <w:rPr>
                <w:lang w:eastAsia="zh-CN"/>
              </w:rPr>
              <w:t>-</w:t>
            </w:r>
            <w:r>
              <w:rPr>
                <w:lang w:eastAsia="zh-CN"/>
              </w:rPr>
              <w:tab/>
            </w:r>
            <w:r>
              <w:rPr>
                <w:lang w:eastAsia="zh-CN"/>
              </w:rPr>
              <w:t>First valid L3-RSRP reporting for unknown case, when UE reports valid L3-RSRP</w:t>
            </w:r>
          </w:p>
          <w:p>
            <w:pPr>
              <w:pStyle w:val="62"/>
              <w:numPr>
                <w:ilvl w:val="0"/>
                <w:numId w:val="0"/>
              </w:numPr>
              <w:ind w:left="1135" w:leftChars="0"/>
              <w:rPr>
                <w:rFonts w:hint="eastAsia" w:eastAsia="宋体"/>
                <w:bCs/>
                <w:color w:val="auto"/>
                <w:sz w:val="20"/>
                <w:szCs w:val="20"/>
                <w:vertAlign w:val="baseline"/>
                <w:lang w:val="en-US" w:eastAsia="zh-CN"/>
              </w:rPr>
            </w:pPr>
            <w:r>
              <w:rPr>
                <w:lang w:eastAsia="zh-CN"/>
              </w:rPr>
              <w:t>-</w:t>
            </w:r>
            <w:r>
              <w:rPr>
                <w:lang w:eastAsia="zh-CN"/>
              </w:rPr>
              <w:tab/>
            </w:r>
            <w:r>
              <w:rPr>
                <w:lang w:eastAsia="zh-CN"/>
              </w:rPr>
              <w:t>First valid L1-RSRP reporting for unknown case, when UE does not report L3-RSRP results</w:t>
            </w:r>
          </w:p>
        </w:tc>
      </w:tr>
    </w:tbl>
    <w:p>
      <w:pPr>
        <w:pStyle w:val="12"/>
        <w:tabs>
          <w:tab w:val="left" w:pos="226"/>
          <w:tab w:val="left" w:pos="284"/>
          <w:tab w:val="left" w:pos="5103"/>
        </w:tabs>
        <w:snapToGrid w:val="0"/>
        <w:rPr>
          <w:rFonts w:hint="eastAsia" w:eastAsia="宋体"/>
          <w:bCs/>
          <w:color w:val="auto"/>
          <w:sz w:val="20"/>
          <w:szCs w:val="20"/>
          <w:lang w:val="en-US" w:eastAsia="zh-CN"/>
        </w:rPr>
      </w:pPr>
      <w:r>
        <w:rPr>
          <w:rFonts w:hint="eastAsia" w:eastAsia="宋体"/>
          <w:bCs/>
          <w:color w:val="auto"/>
          <w:sz w:val="20"/>
          <w:szCs w:val="20"/>
          <w:lang w:val="en-US" w:eastAsia="zh-CN"/>
        </w:rPr>
        <w:t>But if following the definition in 8.3.2 as below, they should be positive value.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0"/>
              <w:numPr>
                <w:ilvl w:val="0"/>
                <w:numId w:val="0"/>
              </w:numPr>
              <w:rPr>
                <w:highlight w:val="none"/>
              </w:rPr>
            </w:pPr>
            <w:r>
              <w:rPr>
                <w:rFonts w:hint="eastAsia"/>
                <w:highlight w:val="none"/>
                <w:u w:val="single"/>
                <w:lang w:val="en-US" w:eastAsia="zh-CN"/>
              </w:rPr>
              <w:t>Defined in 8.3.2:</w:t>
            </w:r>
            <w:r>
              <w:rPr>
                <w:highlight w:val="none"/>
              </w:rPr>
              <w:tab/>
            </w:r>
          </w:p>
          <w:p>
            <w:pPr>
              <w:pStyle w:val="60"/>
              <w:numPr>
                <w:ilvl w:val="0"/>
                <w:numId w:val="0"/>
              </w:numPr>
              <w:ind w:left="200" w:leftChars="0"/>
              <w:rPr>
                <w:highlight w:val="none"/>
              </w:rPr>
            </w:pPr>
            <w:r>
              <w:rPr>
                <w:highlight w:val="none"/>
              </w:rPr>
              <w:t>T</w:t>
            </w:r>
            <w:r>
              <w:rPr>
                <w:highlight w:val="none"/>
                <w:vertAlign w:val="subscript"/>
                <w:lang w:eastAsia="zh-CN"/>
              </w:rPr>
              <w:t>uncertainty_MAC</w:t>
            </w:r>
            <w:r>
              <w:rPr>
                <w:rFonts w:eastAsia="Malgun Gothic"/>
                <w:highlight w:val="none"/>
                <w:lang w:eastAsia="zh-CN"/>
              </w:rPr>
              <w:t xml:space="preserve"> is the time period between reception of the last activation command for </w:t>
            </w:r>
            <w:r>
              <w:rPr>
                <w:highlight w:val="none"/>
              </w:rPr>
              <w:t>PDCCH TCI, PDSCH TCI (when applicable) relative to</w:t>
            </w:r>
          </w:p>
          <w:p>
            <w:pPr>
              <w:pStyle w:val="62"/>
              <w:numPr>
                <w:ilvl w:val="0"/>
                <w:numId w:val="0"/>
              </w:numPr>
              <w:ind w:left="1135" w:leftChars="0"/>
              <w:rPr>
                <w:highlight w:val="none"/>
                <w:lang w:eastAsia="zh-CN"/>
              </w:rPr>
            </w:pPr>
            <w:r>
              <w:rPr>
                <w:highlight w:val="none"/>
                <w:lang w:eastAsia="zh-CN"/>
              </w:rPr>
              <w:t>-</w:t>
            </w:r>
            <w:r>
              <w:rPr>
                <w:highlight w:val="none"/>
                <w:lang w:eastAsia="zh-CN"/>
              </w:rPr>
              <w:tab/>
            </w:r>
            <w:r>
              <w:rPr>
                <w:highlight w:val="none"/>
                <w:lang w:eastAsia="zh-CN"/>
              </w:rPr>
              <w:t>SCell activation command for known case;</w:t>
            </w:r>
          </w:p>
          <w:p>
            <w:pPr>
              <w:pStyle w:val="62"/>
              <w:numPr>
                <w:ilvl w:val="0"/>
                <w:numId w:val="0"/>
              </w:numPr>
              <w:ind w:left="1135" w:leftChars="0"/>
              <w:rPr>
                <w:highlight w:val="none"/>
                <w:lang w:eastAsia="zh-CN"/>
              </w:rPr>
            </w:pPr>
            <w:r>
              <w:rPr>
                <w:highlight w:val="none"/>
                <w:lang w:eastAsia="zh-CN"/>
              </w:rPr>
              <w:t>-</w:t>
            </w:r>
            <w:r>
              <w:rPr>
                <w:highlight w:val="none"/>
                <w:lang w:eastAsia="zh-CN"/>
              </w:rPr>
              <w:tab/>
            </w:r>
            <w:r>
              <w:rPr>
                <w:highlight w:val="none"/>
                <w:lang w:eastAsia="zh-CN"/>
              </w:rPr>
              <w:t>First valid L1-RSRP reporting for unknown case.</w:t>
            </w:r>
          </w:p>
          <w:p>
            <w:pPr>
              <w:pStyle w:val="60"/>
              <w:numPr>
                <w:ilvl w:val="0"/>
                <w:numId w:val="0"/>
              </w:numPr>
              <w:ind w:left="200" w:leftChars="0"/>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62"/>
              <w:numPr>
                <w:ilvl w:val="0"/>
                <w:numId w:val="0"/>
              </w:numPr>
              <w:ind w:left="1135" w:leftChars="0"/>
              <w:rPr>
                <w:lang w:eastAsia="zh-CN"/>
              </w:rPr>
            </w:pPr>
            <w:r>
              <w:rPr>
                <w:lang w:eastAsia="zh-CN"/>
              </w:rPr>
              <w:t>-</w:t>
            </w:r>
            <w:r>
              <w:rPr>
                <w:lang w:eastAsia="zh-CN"/>
              </w:rPr>
              <w:tab/>
            </w:r>
            <w:r>
              <w:rPr>
                <w:lang w:eastAsia="zh-CN"/>
              </w:rPr>
              <w:t>SCell activation command for known case;</w:t>
            </w:r>
          </w:p>
          <w:p>
            <w:pPr>
              <w:pStyle w:val="62"/>
              <w:numPr>
                <w:ilvl w:val="0"/>
                <w:numId w:val="0"/>
              </w:numPr>
              <w:ind w:left="1135" w:leftChars="0"/>
              <w:rPr>
                <w:lang w:eastAsia="zh-CN"/>
              </w:rPr>
            </w:pPr>
            <w:r>
              <w:rPr>
                <w:lang w:eastAsia="zh-CN"/>
              </w:rPr>
              <w:t>-</w:t>
            </w:r>
            <w:r>
              <w:rPr>
                <w:lang w:eastAsia="zh-CN"/>
              </w:rPr>
              <w:tab/>
            </w:r>
            <w:r>
              <w:rPr>
                <w:lang w:eastAsia="zh-CN"/>
              </w:rPr>
              <w:t xml:space="preserve">First valid L1-RSRP reporting for unknown case. </w:t>
            </w:r>
          </w:p>
          <w:p>
            <w:pPr>
              <w:pStyle w:val="60"/>
              <w:numPr>
                <w:ilvl w:val="0"/>
                <w:numId w:val="0"/>
              </w:numPr>
              <w:ind w:left="200" w:leftChars="0"/>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62"/>
              <w:numPr>
                <w:ilvl w:val="0"/>
                <w:numId w:val="0"/>
              </w:numPr>
              <w:ind w:left="1135" w:leftChars="0"/>
              <w:rPr>
                <w:lang w:eastAsia="zh-CN"/>
              </w:rPr>
            </w:pPr>
            <w:r>
              <w:rPr>
                <w:lang w:eastAsia="zh-CN"/>
              </w:rPr>
              <w:t>-</w:t>
            </w:r>
            <w:r>
              <w:rPr>
                <w:lang w:eastAsia="zh-CN"/>
              </w:rPr>
              <w:tab/>
            </w:r>
            <w:r>
              <w:rPr>
                <w:lang w:eastAsia="zh-CN"/>
              </w:rPr>
              <w:t>SCell activation command for known case;</w:t>
            </w:r>
          </w:p>
          <w:p>
            <w:pPr>
              <w:pStyle w:val="62"/>
              <w:numPr>
                <w:ilvl w:val="0"/>
                <w:numId w:val="0"/>
              </w:numPr>
              <w:ind w:left="1135" w:leftChars="0"/>
              <w:rPr>
                <w:rFonts w:hint="default" w:eastAsia="宋体"/>
                <w:bCs/>
                <w:color w:val="auto"/>
                <w:sz w:val="20"/>
                <w:szCs w:val="20"/>
                <w:vertAlign w:val="baseline"/>
                <w:lang w:val="en-US" w:eastAsia="zh-CN"/>
              </w:rPr>
            </w:pPr>
            <w:r>
              <w:rPr>
                <w:lang w:eastAsia="zh-CN"/>
              </w:rPr>
              <w:t>-</w:t>
            </w:r>
            <w:r>
              <w:rPr>
                <w:lang w:eastAsia="zh-CN"/>
              </w:rPr>
              <w:tab/>
            </w:r>
            <w:r>
              <w:rPr>
                <w:lang w:eastAsia="zh-CN"/>
              </w:rPr>
              <w:t>First valid L1-RSRP reporting for unknown case.</w:t>
            </w:r>
          </w:p>
        </w:tc>
      </w:tr>
    </w:tbl>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Regarding the value of T</w:t>
      </w:r>
      <w:r>
        <w:rPr>
          <w:rFonts w:hint="eastAsia" w:eastAsia="宋体" w:cs="Times New Roman"/>
          <w:b/>
          <w:bCs/>
          <w:color w:val="auto"/>
          <w:sz w:val="13"/>
          <w:szCs w:val="13"/>
          <w:highlight w:val="none"/>
          <w:lang w:val="en-US" w:eastAsia="zh-CN" w:bidi="ar-SA"/>
        </w:rPr>
        <w:t>uncertainty_MAC</w:t>
      </w:r>
      <w:r>
        <w:rPr>
          <w:rFonts w:hint="eastAsia" w:eastAsia="宋体" w:cs="Times New Roman"/>
          <w:b/>
          <w:bCs/>
          <w:color w:val="auto"/>
          <w:sz w:val="20"/>
          <w:szCs w:val="20"/>
          <w:highlight w:val="none"/>
          <w:lang w:val="en-US" w:eastAsia="zh-CN" w:bidi="ar-SA"/>
        </w:rPr>
        <w:t>, T</w:t>
      </w:r>
      <w:r>
        <w:rPr>
          <w:rFonts w:hint="eastAsia" w:eastAsia="宋体" w:cs="Times New Roman"/>
          <w:b/>
          <w:bCs/>
          <w:color w:val="auto"/>
          <w:sz w:val="13"/>
          <w:szCs w:val="13"/>
          <w:highlight w:val="none"/>
          <w:lang w:val="en-US" w:eastAsia="zh-CN" w:bidi="ar-SA"/>
        </w:rPr>
        <w:t>uncertainty_RRC</w:t>
      </w:r>
      <w:r>
        <w:rPr>
          <w:rFonts w:hint="eastAsia" w:eastAsia="宋体" w:cs="Times New Roman"/>
          <w:b/>
          <w:bCs/>
          <w:color w:val="auto"/>
          <w:sz w:val="20"/>
          <w:szCs w:val="20"/>
          <w:highlight w:val="none"/>
          <w:lang w:val="en-US" w:eastAsia="zh-CN" w:bidi="ar-SA"/>
        </w:rPr>
        <w:t xml:space="preserve"> and T</w:t>
      </w:r>
      <w:r>
        <w:rPr>
          <w:rFonts w:hint="eastAsia" w:eastAsia="宋体" w:cs="Times New Roman"/>
          <w:b/>
          <w:bCs/>
          <w:color w:val="auto"/>
          <w:sz w:val="13"/>
          <w:szCs w:val="13"/>
          <w:highlight w:val="none"/>
          <w:lang w:val="en-US" w:eastAsia="zh-CN" w:bidi="ar-SA"/>
        </w:rPr>
        <w:t>uncertainty_SP</w:t>
      </w:r>
      <w:r>
        <w:rPr>
          <w:rFonts w:hint="eastAsia" w:eastAsia="宋体" w:cs="Times New Roman"/>
          <w:b/>
          <w:bCs/>
          <w:color w:val="auto"/>
          <w:sz w:val="20"/>
          <w:szCs w:val="20"/>
          <w:highlight w:val="none"/>
          <w:lang w:val="en-US" w:eastAsia="zh-CN" w:bidi="ar-SA"/>
        </w:rPr>
        <w:t xml:space="preserve">,  </w:t>
      </w:r>
    </w:p>
    <w:p>
      <w:pPr>
        <w:pStyle w:val="12"/>
        <w:keepNext w:val="0"/>
        <w:keepLines w:val="0"/>
        <w:pageBreakBefore w:val="0"/>
        <w:widowControl/>
        <w:numPr>
          <w:ilvl w:val="0"/>
          <w:numId w:val="5"/>
        </w:numPr>
        <w:kinsoku/>
        <w:wordWrap/>
        <w:overflowPunct/>
        <w:topLinePunct w:val="0"/>
        <w:autoSpaceDE/>
        <w:autoSpaceDN/>
        <w:bidi w:val="0"/>
        <w:adjustRightInd/>
        <w:snapToGrid/>
        <w:spacing w:after="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If following the definition in 8.3.2, they should be positive value;</w:t>
      </w:r>
    </w:p>
    <w:p>
      <w:pPr>
        <w:pStyle w:val="12"/>
        <w:keepNext w:val="0"/>
        <w:keepLines w:val="0"/>
        <w:pageBreakBefore w:val="0"/>
        <w:widowControl/>
        <w:numPr>
          <w:ilvl w:val="0"/>
          <w:numId w:val="5"/>
        </w:numPr>
        <w:kinsoku/>
        <w:wordWrap/>
        <w:overflowPunct/>
        <w:topLinePunct w:val="0"/>
        <w:autoSpaceDE/>
        <w:autoSpaceDN/>
        <w:bidi w:val="0"/>
        <w:adjustRightInd/>
        <w:snapToGrid/>
        <w:spacing w:after="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If following the definition in 8.3.17, they should be negative value.</w:t>
      </w:r>
    </w:p>
    <w:p>
      <w:pPr>
        <w:pStyle w:val="12"/>
        <w:tabs>
          <w:tab w:val="left" w:pos="226"/>
          <w:tab w:val="left" w:pos="284"/>
          <w:tab w:val="left" w:pos="5103"/>
        </w:tabs>
        <w:snapToGrid w:val="0"/>
        <w:rPr>
          <w:rFonts w:hint="default" w:eastAsia="宋体"/>
          <w:bCs/>
          <w:color w:val="auto"/>
          <w:sz w:val="20"/>
          <w:szCs w:val="20"/>
          <w:lang w:val="en-US" w:eastAsia="zh-CN"/>
        </w:rPr>
      </w:pPr>
      <w:r>
        <w:rPr>
          <w:rFonts w:hint="eastAsia" w:eastAsia="宋体"/>
          <w:bCs/>
          <w:color w:val="auto"/>
          <w:sz w:val="20"/>
          <w:szCs w:val="20"/>
          <w:lang w:val="en-US" w:eastAsia="zh-CN"/>
        </w:rPr>
        <w:t>The delay component with negative value is not appropriated and meaningless, so if following the definition in 8.3.17, some additional revision is needed to specify these uncertainty part as zero at this unsure case.</w:t>
      </w:r>
    </w:p>
    <w:p>
      <w:pPr>
        <w:pStyle w:val="12"/>
        <w:tabs>
          <w:tab w:val="left" w:pos="226"/>
          <w:tab w:val="left" w:pos="284"/>
          <w:tab w:val="left" w:pos="5103"/>
        </w:tabs>
        <w:snapToGrid w:val="0"/>
        <w:rPr>
          <w:rFonts w:hint="eastAsia" w:eastAsia="宋体"/>
          <w:bCs/>
          <w:color w:val="auto"/>
          <w:sz w:val="20"/>
          <w:szCs w:val="20"/>
          <w:lang w:val="en-US" w:eastAsia="zh-CN"/>
        </w:rPr>
      </w:pPr>
      <w:r>
        <w:rPr>
          <w:rFonts w:hint="eastAsia" w:eastAsia="宋体"/>
          <w:bCs/>
          <w:color w:val="auto"/>
          <w:sz w:val="20"/>
          <w:szCs w:val="20"/>
          <w:lang w:val="en-US" w:eastAsia="zh-CN"/>
        </w:rPr>
        <w:t xml:space="preserve">Besides these uncertainty part definition, regarding the requirements of whole delay for this unsure case, if following legacy 8.3.2, then for the delay from TCI state indication to L3 reporting, actually no component to capture this part. While within 8.3.17, the component of TL3, report has already included this part. But under this case, this part actually exists, if we want to reuse the requirement in 8.3.2, which implies the UE would not send L3 reporting after receiving the TCI state indication. The UE behavior and the requirement should be consistent. </w:t>
      </w:r>
    </w:p>
    <w:p>
      <w:pPr>
        <w:pStyle w:val="12"/>
        <w:tabs>
          <w:tab w:val="left" w:pos="226"/>
          <w:tab w:val="left" w:pos="284"/>
          <w:tab w:val="left" w:pos="5103"/>
        </w:tabs>
        <w:snapToGrid w:val="0"/>
        <w:rPr>
          <w:rFonts w:hint="eastAsia" w:eastAsia="宋体"/>
          <w:bCs/>
          <w:color w:val="auto"/>
          <w:sz w:val="20"/>
          <w:szCs w:val="20"/>
          <w:lang w:val="en-US" w:eastAsia="zh-CN"/>
        </w:rPr>
      </w:pPr>
      <w:r>
        <w:rPr>
          <w:rFonts w:hint="eastAsia" w:eastAsia="宋体"/>
          <w:bCs/>
          <w:color w:val="auto"/>
          <w:sz w:val="20"/>
          <w:szCs w:val="20"/>
          <w:lang w:val="en-US" w:eastAsia="zh-CN"/>
        </w:rPr>
        <w:t>So another alternative is to allow the L3 reporting event after receiving the TCI state indication, accordingly, the requirement in 8.3.17 should be followed, the UE behavior and the requirement are consistent. Under this case, all these uncertainty part should be defined as zero.</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If following the requirement of 8.3.2, the UE behavior and requirement is not consistent, the the delay from TCI state indication to L3 reporting actually exists, but no component captures this part in the requirement.</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eastAsia="宋体"/>
          <w:bCs/>
          <w:color w:val="auto"/>
          <w:sz w:val="20"/>
          <w:szCs w:val="20"/>
          <w:lang w:val="en-US" w:eastAsia="zh-CN"/>
        </w:rPr>
      </w:pPr>
      <w:r>
        <w:rPr>
          <w:rFonts w:hint="eastAsia" w:eastAsia="宋体" w:cs="Times New Roman"/>
          <w:b/>
          <w:bCs/>
          <w:color w:val="auto"/>
          <w:sz w:val="20"/>
          <w:szCs w:val="20"/>
          <w:highlight w:val="none"/>
          <w:lang w:val="en-US" w:eastAsia="zh-CN" w:bidi="ar-SA"/>
        </w:rPr>
        <w:t>If following the requirement of 8.3.17, the UE behavior and requirement is consistent.</w:t>
      </w:r>
    </w:p>
    <w:p>
      <w:pPr>
        <w:pStyle w:val="12"/>
        <w:tabs>
          <w:tab w:val="left" w:pos="226"/>
          <w:tab w:val="left" w:pos="284"/>
          <w:tab w:val="left" w:pos="5103"/>
        </w:tabs>
        <w:snapToGrid w:val="0"/>
        <w:rPr>
          <w:rFonts w:hint="eastAsia" w:eastAsia="宋体"/>
          <w:bCs/>
          <w:color w:val="auto"/>
          <w:sz w:val="20"/>
          <w:szCs w:val="20"/>
          <w:lang w:val="en-US" w:eastAsia="zh-CN"/>
        </w:rPr>
      </w:pPr>
      <w:r>
        <w:rPr>
          <w:rFonts w:hint="eastAsia" w:eastAsia="宋体"/>
          <w:bCs/>
          <w:color w:val="auto"/>
          <w:sz w:val="20"/>
          <w:szCs w:val="20"/>
          <w:lang w:val="en-US" w:eastAsia="zh-CN"/>
        </w:rPr>
        <w:t>On the other hand, in the beginning of 8.3.17, it is clearly captured when to apply the requirements defined in 8.3.17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widowControl/>
              <w:kinsoku/>
              <w:wordWrap/>
              <w:overflowPunct/>
              <w:topLinePunct w:val="0"/>
              <w:autoSpaceDE/>
              <w:autoSpaceDN/>
              <w:bidi w:val="0"/>
              <w:adjustRightInd/>
              <w:snapToGrid/>
              <w:spacing w:before="0" w:after="0" w:line="240" w:lineRule="auto"/>
              <w:textAlignment w:val="auto"/>
              <w:rPr>
                <w:lang w:val="en-US"/>
              </w:rPr>
            </w:pPr>
            <w:r>
              <w:rPr>
                <w:lang w:val="en-US"/>
              </w:rPr>
              <w:t>8.3.17</w:t>
            </w:r>
            <w:r>
              <w:rPr>
                <w:lang w:val="en-US"/>
              </w:rPr>
              <w:tab/>
            </w:r>
            <w:r>
              <w:t>SCell Activation Delay Requirement for Deactivated SCell with the L3 reporting during activation.</w:t>
            </w:r>
          </w:p>
          <w:p>
            <w:pPr>
              <w:pageBreakBefore w:val="0"/>
              <w:widowControl/>
              <w:kinsoku/>
              <w:wordWrap/>
              <w:overflowPunct/>
              <w:topLinePunct w:val="0"/>
              <w:autoSpaceDE/>
              <w:autoSpaceDN/>
              <w:bidi w:val="0"/>
              <w:adjustRightInd/>
              <w:snapToGrid/>
              <w:spacing w:line="240" w:lineRule="auto"/>
              <w:textAlignment w:val="auto"/>
            </w:pPr>
            <w:r>
              <w:t xml:space="preserve">The requirements in this clause shall apply for UE supporting </w:t>
            </w:r>
            <w:r>
              <w:rPr>
                <w:i/>
                <w:iCs/>
                <w:szCs w:val="24"/>
                <w:lang w:eastAsia="zh-CN"/>
              </w:rPr>
              <w:t>l3-MeasUnknownSCellActivation-r18</w:t>
            </w:r>
            <w:r>
              <w:t xml:space="preserve"> and </w:t>
            </w:r>
            <w:r>
              <w:rPr>
                <w:highlight w:val="yellow"/>
              </w:rPr>
              <w:t>reporting valid L3 measurement results after receiving the SCell activation command for unknown SCell</w:t>
            </w:r>
            <w:r>
              <w:t xml:space="preserve">. The requirements in this clause shall apply for the UE configured with one downlink SCell </w:t>
            </w:r>
            <w:r>
              <w:rPr>
                <w:lang w:eastAsia="zh-CN"/>
              </w:rPr>
              <w:t>in EN-DC, or in standalone NR carrier aggregation or in NE-DC or in NR-DC and when one SCell is being activated</w:t>
            </w:r>
            <w:r>
              <w:t xml:space="preserve">. </w:t>
            </w:r>
            <w:r>
              <w:rPr>
                <w:highlight w:val="yellow"/>
              </w:rPr>
              <w:t>Clause 8.3.2 is applied for UE who does not report L3 measurement results after receiving SCell activation command for unknown SCell</w:t>
            </w:r>
            <w:r>
              <w:t>.</w:t>
            </w:r>
          </w:p>
          <w:p>
            <w:pPr>
              <w:pStyle w:val="12"/>
              <w:keepNext w:val="0"/>
              <w:keepLines w:val="0"/>
              <w:pageBreakBefore w:val="0"/>
              <w:widowControl/>
              <w:numPr>
                <w:ilvl w:val="0"/>
                <w:numId w:val="0"/>
              </w:numPr>
              <w:kinsoku/>
              <w:wordWrap/>
              <w:overflowPunct/>
              <w:topLinePunct w:val="0"/>
              <w:autoSpaceDE/>
              <w:autoSpaceDN/>
              <w:bidi w:val="0"/>
              <w:adjustRightInd/>
              <w:snapToGrid/>
              <w:spacing w:after="0" w:line="240" w:lineRule="auto"/>
              <w:textAlignment w:val="auto"/>
              <w:rPr>
                <w:rFonts w:hint="default" w:eastAsia="宋体"/>
                <w:bCs/>
                <w:color w:val="auto"/>
                <w:sz w:val="20"/>
                <w:szCs w:val="20"/>
                <w:vertAlign w:val="baseline"/>
                <w:lang w:val="en-US" w:eastAsia="zh-CN"/>
              </w:rPr>
            </w:pPr>
            <w:r>
              <w:rPr>
                <w:rFonts w:hint="eastAsia" w:eastAsia="宋体"/>
                <w:bCs/>
                <w:color w:val="auto"/>
                <w:sz w:val="20"/>
                <w:szCs w:val="20"/>
                <w:vertAlign w:val="baseline"/>
                <w:lang w:val="en-US" w:eastAsia="zh-CN"/>
              </w:rPr>
              <w:t>...</w:t>
            </w:r>
          </w:p>
        </w:tc>
      </w:tr>
    </w:tbl>
    <w:p>
      <w:pPr>
        <w:pStyle w:val="12"/>
        <w:tabs>
          <w:tab w:val="left" w:pos="226"/>
          <w:tab w:val="left" w:pos="284"/>
          <w:tab w:val="left" w:pos="5103"/>
        </w:tabs>
        <w:snapToGrid w:val="0"/>
        <w:rPr>
          <w:rFonts w:hint="eastAsia" w:eastAsia="宋体"/>
          <w:bCs/>
          <w:color w:val="auto"/>
          <w:sz w:val="20"/>
          <w:szCs w:val="20"/>
          <w:lang w:val="en-US" w:eastAsia="zh-CN"/>
        </w:rPr>
      </w:pPr>
      <w:r>
        <w:rPr>
          <w:rFonts w:hint="eastAsia" w:eastAsia="宋体"/>
          <w:bCs/>
          <w:color w:val="auto"/>
          <w:sz w:val="20"/>
          <w:szCs w:val="20"/>
          <w:lang w:val="en-US" w:eastAsia="zh-CN"/>
        </w:rPr>
        <w:t>So no matter whether the L1 reporting sent or not, as long as the L3 reporting sent during the window, the requirements defined in 8.3.17 should be followed, unless no L3 reporting sent by UE.</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eastAsia="宋体"/>
          <w:bCs/>
          <w:color w:val="auto"/>
          <w:sz w:val="20"/>
          <w:szCs w:val="20"/>
          <w:lang w:val="en-US" w:eastAsia="zh-CN"/>
        </w:rPr>
      </w:pPr>
      <w:r>
        <w:rPr>
          <w:rFonts w:hint="eastAsia" w:eastAsia="宋体"/>
          <w:bCs/>
          <w:color w:val="auto"/>
          <w:sz w:val="20"/>
          <w:szCs w:val="20"/>
          <w:lang w:val="en-US" w:eastAsia="zh-CN"/>
        </w:rPr>
        <w:t>At this maintenance stage of the WID, Alt 2 is preferred by us as no need to change the UE behavior, just to refine the definition of T</w:t>
      </w:r>
      <w:r>
        <w:rPr>
          <w:rFonts w:hint="eastAsia" w:eastAsia="宋体"/>
          <w:bCs/>
          <w:color w:val="auto"/>
          <w:sz w:val="13"/>
          <w:szCs w:val="13"/>
          <w:lang w:val="en-US" w:eastAsia="zh-CN"/>
        </w:rPr>
        <w:t>uncertainty_MAC</w:t>
      </w:r>
      <w:r>
        <w:rPr>
          <w:rFonts w:hint="eastAsia" w:eastAsia="宋体"/>
          <w:bCs/>
          <w:color w:val="auto"/>
          <w:sz w:val="20"/>
          <w:szCs w:val="20"/>
          <w:lang w:val="en-US" w:eastAsia="zh-CN"/>
        </w:rPr>
        <w:t>, T</w:t>
      </w:r>
      <w:r>
        <w:rPr>
          <w:rFonts w:hint="eastAsia" w:eastAsia="宋体"/>
          <w:bCs/>
          <w:color w:val="auto"/>
          <w:sz w:val="13"/>
          <w:szCs w:val="13"/>
          <w:lang w:val="en-US" w:eastAsia="zh-CN"/>
        </w:rPr>
        <w:t>uncertainty_RRC</w:t>
      </w:r>
      <w:r>
        <w:rPr>
          <w:rFonts w:hint="eastAsia" w:eastAsia="宋体"/>
          <w:bCs/>
          <w:color w:val="auto"/>
          <w:sz w:val="20"/>
          <w:szCs w:val="20"/>
          <w:lang w:val="en-US" w:eastAsia="zh-CN"/>
        </w:rPr>
        <w:t xml:space="preserve"> and T</w:t>
      </w:r>
      <w:r>
        <w:rPr>
          <w:rFonts w:hint="eastAsia" w:eastAsia="宋体"/>
          <w:bCs/>
          <w:color w:val="auto"/>
          <w:sz w:val="13"/>
          <w:szCs w:val="13"/>
          <w:lang w:val="en-US" w:eastAsia="zh-CN"/>
        </w:rPr>
        <w:t xml:space="preserve">uncertainty_SP </w:t>
      </w:r>
      <w:r>
        <w:rPr>
          <w:rFonts w:hint="eastAsia" w:eastAsia="宋体"/>
          <w:bCs/>
          <w:color w:val="auto"/>
          <w:sz w:val="20"/>
          <w:szCs w:val="20"/>
          <w:lang w:val="en-US" w:eastAsia="zh-CN"/>
        </w:rPr>
        <w:t>is enough. We provide one CR to capture this refining in [2].</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Two alternatives to address this case:</w:t>
      </w:r>
    </w:p>
    <w:p>
      <w:pPr>
        <w:pStyle w:val="12"/>
        <w:keepNext w:val="0"/>
        <w:keepLines w:val="0"/>
        <w:pageBreakBefore w:val="0"/>
        <w:widowControl/>
        <w:numPr>
          <w:ilvl w:val="0"/>
          <w:numId w:val="5"/>
        </w:numPr>
        <w:kinsoku/>
        <w:wordWrap/>
        <w:overflowPunct/>
        <w:topLinePunct w:val="0"/>
        <w:autoSpaceDE/>
        <w:autoSpaceDN/>
        <w:bidi w:val="0"/>
        <w:adjustRightInd/>
        <w:snapToGrid/>
        <w:spacing w:after="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Alt 1: Reuse the requirement defined in 8.3.2, the uncertainty part </w:t>
      </w:r>
      <w:r>
        <w:rPr>
          <w:rFonts w:hint="eastAsia" w:eastAsia="宋体"/>
          <w:b/>
          <w:bCs w:val="0"/>
          <w:color w:val="auto"/>
          <w:sz w:val="20"/>
          <w:szCs w:val="20"/>
          <w:lang w:val="en-US" w:eastAsia="zh-CN"/>
        </w:rPr>
        <w:t>T</w:t>
      </w:r>
      <w:r>
        <w:rPr>
          <w:rFonts w:hint="eastAsia" w:eastAsia="宋体"/>
          <w:b/>
          <w:bCs w:val="0"/>
          <w:color w:val="auto"/>
          <w:sz w:val="11"/>
          <w:szCs w:val="11"/>
          <w:lang w:val="en-US" w:eastAsia="zh-CN"/>
        </w:rPr>
        <w:t>uncertainty_MAC</w:t>
      </w:r>
      <w:r>
        <w:rPr>
          <w:rFonts w:hint="eastAsia" w:eastAsia="宋体"/>
          <w:b/>
          <w:bCs w:val="0"/>
          <w:color w:val="auto"/>
          <w:sz w:val="20"/>
          <w:szCs w:val="20"/>
          <w:lang w:val="en-US" w:eastAsia="zh-CN"/>
        </w:rPr>
        <w:t>, T</w:t>
      </w:r>
      <w:r>
        <w:rPr>
          <w:rFonts w:hint="eastAsia" w:eastAsia="宋体"/>
          <w:b/>
          <w:bCs w:val="0"/>
          <w:color w:val="auto"/>
          <w:sz w:val="11"/>
          <w:szCs w:val="11"/>
          <w:lang w:val="en-US" w:eastAsia="zh-CN"/>
        </w:rPr>
        <w:t xml:space="preserve">uncertainty_RRC </w:t>
      </w:r>
      <w:r>
        <w:rPr>
          <w:rFonts w:hint="eastAsia" w:eastAsia="宋体"/>
          <w:b/>
          <w:bCs w:val="0"/>
          <w:color w:val="auto"/>
          <w:sz w:val="20"/>
          <w:szCs w:val="20"/>
          <w:lang w:val="en-US" w:eastAsia="zh-CN"/>
        </w:rPr>
        <w:t>and T</w:t>
      </w:r>
      <w:r>
        <w:rPr>
          <w:rFonts w:hint="eastAsia" w:eastAsia="宋体"/>
          <w:b/>
          <w:bCs w:val="0"/>
          <w:color w:val="auto"/>
          <w:sz w:val="11"/>
          <w:szCs w:val="11"/>
          <w:lang w:val="en-US" w:eastAsia="zh-CN"/>
        </w:rPr>
        <w:t xml:space="preserve">uncertainty_SP </w:t>
      </w:r>
      <w:r>
        <w:rPr>
          <w:rFonts w:hint="eastAsia" w:eastAsia="宋体" w:cs="Times New Roman"/>
          <w:b/>
          <w:bCs/>
          <w:color w:val="auto"/>
          <w:sz w:val="20"/>
          <w:szCs w:val="20"/>
          <w:highlight w:val="none"/>
          <w:lang w:val="en-US" w:eastAsia="zh-CN" w:bidi="ar-SA"/>
        </w:rPr>
        <w:t>are positive value under this case. UE would not report L3 reporting after receiving the TCI state indication.</w:t>
      </w:r>
    </w:p>
    <w:p>
      <w:pPr>
        <w:pStyle w:val="12"/>
        <w:keepNext w:val="0"/>
        <w:keepLines w:val="0"/>
        <w:pageBreakBefore w:val="0"/>
        <w:widowControl/>
        <w:numPr>
          <w:ilvl w:val="0"/>
          <w:numId w:val="5"/>
        </w:numPr>
        <w:kinsoku/>
        <w:wordWrap/>
        <w:overflowPunct/>
        <w:topLinePunct w:val="0"/>
        <w:autoSpaceDE/>
        <w:autoSpaceDN/>
        <w:bidi w:val="0"/>
        <w:adjustRightInd/>
        <w:snapToGrid/>
        <w:spacing w:after="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Alt 2: Follow the requirement defined in 8.3.17, add some clarification on the uncertainty part </w:t>
      </w:r>
      <w:r>
        <w:rPr>
          <w:rFonts w:hint="eastAsia" w:eastAsia="宋体"/>
          <w:b/>
          <w:bCs w:val="0"/>
          <w:color w:val="auto"/>
          <w:sz w:val="20"/>
          <w:szCs w:val="20"/>
          <w:lang w:val="en-US" w:eastAsia="zh-CN"/>
        </w:rPr>
        <w:t>T</w:t>
      </w:r>
      <w:r>
        <w:rPr>
          <w:rFonts w:hint="eastAsia" w:eastAsia="宋体"/>
          <w:b/>
          <w:bCs w:val="0"/>
          <w:color w:val="auto"/>
          <w:sz w:val="11"/>
          <w:szCs w:val="11"/>
          <w:lang w:val="en-US" w:eastAsia="zh-CN"/>
        </w:rPr>
        <w:t>uncertainty_MAC</w:t>
      </w:r>
      <w:r>
        <w:rPr>
          <w:rFonts w:hint="eastAsia" w:eastAsia="宋体"/>
          <w:b/>
          <w:bCs w:val="0"/>
          <w:color w:val="auto"/>
          <w:sz w:val="20"/>
          <w:szCs w:val="20"/>
          <w:lang w:val="en-US" w:eastAsia="zh-CN"/>
        </w:rPr>
        <w:t>, T</w:t>
      </w:r>
      <w:r>
        <w:rPr>
          <w:rFonts w:hint="eastAsia" w:eastAsia="宋体"/>
          <w:b/>
          <w:bCs w:val="0"/>
          <w:color w:val="auto"/>
          <w:sz w:val="11"/>
          <w:szCs w:val="11"/>
          <w:lang w:val="en-US" w:eastAsia="zh-CN"/>
        </w:rPr>
        <w:t xml:space="preserve">uncertainty_RRC </w:t>
      </w:r>
      <w:r>
        <w:rPr>
          <w:rFonts w:hint="eastAsia" w:eastAsia="宋体"/>
          <w:b/>
          <w:bCs w:val="0"/>
          <w:color w:val="auto"/>
          <w:sz w:val="20"/>
          <w:szCs w:val="20"/>
          <w:lang w:val="en-US" w:eastAsia="zh-CN"/>
        </w:rPr>
        <w:t>and T</w:t>
      </w:r>
      <w:r>
        <w:rPr>
          <w:rFonts w:hint="eastAsia" w:eastAsia="宋体"/>
          <w:b/>
          <w:bCs w:val="0"/>
          <w:color w:val="auto"/>
          <w:sz w:val="11"/>
          <w:szCs w:val="11"/>
          <w:lang w:val="en-US" w:eastAsia="zh-CN"/>
        </w:rPr>
        <w:t xml:space="preserve">uncertainty_SP </w:t>
      </w:r>
      <w:r>
        <w:rPr>
          <w:rFonts w:hint="eastAsia" w:eastAsia="宋体" w:cs="Times New Roman"/>
          <w:b/>
          <w:bCs/>
          <w:color w:val="auto"/>
          <w:sz w:val="20"/>
          <w:szCs w:val="20"/>
          <w:highlight w:val="none"/>
          <w:lang w:val="en-US" w:eastAsia="zh-CN" w:bidi="ar-SA"/>
        </w:rPr>
        <w:t xml:space="preserve">are zero under this case. </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Alt 2 is preferred by us due to less spec impact.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2"/>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core part maintenance of</w:t>
      </w:r>
      <w:r>
        <w:rPr>
          <w:rFonts w:hint="eastAsia" w:eastAsia="宋体"/>
          <w:color w:val="auto"/>
          <w:sz w:val="20"/>
          <w:szCs w:val="20"/>
          <w:lang w:val="en-US" w:eastAsia="zh-CN"/>
        </w:rPr>
        <w:t xml:space="preserve"> SCell activation enhancements</w:t>
      </w:r>
      <w:r>
        <w:rPr>
          <w:rFonts w:eastAsia="宋体"/>
          <w:bCs/>
          <w:color w:val="auto"/>
          <w:sz w:val="20"/>
          <w:szCs w:val="20"/>
          <w:lang w:val="en-GB" w:eastAsia="zh-CN"/>
        </w:rPr>
        <w:t>:</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Regarding the value of T</w:t>
      </w:r>
      <w:r>
        <w:rPr>
          <w:rFonts w:hint="eastAsia" w:eastAsia="宋体" w:cs="Times New Roman"/>
          <w:b/>
          <w:bCs/>
          <w:color w:val="auto"/>
          <w:sz w:val="13"/>
          <w:szCs w:val="13"/>
          <w:highlight w:val="none"/>
          <w:lang w:val="en-US" w:eastAsia="zh-CN" w:bidi="ar-SA"/>
        </w:rPr>
        <w:t>uncertainty_MAC</w:t>
      </w:r>
      <w:r>
        <w:rPr>
          <w:rFonts w:hint="eastAsia" w:eastAsia="宋体" w:cs="Times New Roman"/>
          <w:b/>
          <w:bCs/>
          <w:color w:val="auto"/>
          <w:sz w:val="20"/>
          <w:szCs w:val="20"/>
          <w:highlight w:val="none"/>
          <w:lang w:val="en-US" w:eastAsia="zh-CN" w:bidi="ar-SA"/>
        </w:rPr>
        <w:t>, T</w:t>
      </w:r>
      <w:r>
        <w:rPr>
          <w:rFonts w:hint="eastAsia" w:eastAsia="宋体" w:cs="Times New Roman"/>
          <w:b/>
          <w:bCs/>
          <w:color w:val="auto"/>
          <w:sz w:val="13"/>
          <w:szCs w:val="13"/>
          <w:highlight w:val="none"/>
          <w:lang w:val="en-US" w:eastAsia="zh-CN" w:bidi="ar-SA"/>
        </w:rPr>
        <w:t>uncertainty_RRC</w:t>
      </w:r>
      <w:r>
        <w:rPr>
          <w:rFonts w:hint="eastAsia" w:eastAsia="宋体" w:cs="Times New Roman"/>
          <w:b/>
          <w:bCs/>
          <w:color w:val="auto"/>
          <w:sz w:val="20"/>
          <w:szCs w:val="20"/>
          <w:highlight w:val="none"/>
          <w:lang w:val="en-US" w:eastAsia="zh-CN" w:bidi="ar-SA"/>
        </w:rPr>
        <w:t xml:space="preserve"> and T</w:t>
      </w:r>
      <w:r>
        <w:rPr>
          <w:rFonts w:hint="eastAsia" w:eastAsia="宋体" w:cs="Times New Roman"/>
          <w:b/>
          <w:bCs/>
          <w:color w:val="auto"/>
          <w:sz w:val="13"/>
          <w:szCs w:val="13"/>
          <w:highlight w:val="none"/>
          <w:lang w:val="en-US" w:eastAsia="zh-CN" w:bidi="ar-SA"/>
        </w:rPr>
        <w:t>uncertainty_SP</w:t>
      </w:r>
      <w:r>
        <w:rPr>
          <w:rFonts w:hint="eastAsia" w:eastAsia="宋体" w:cs="Times New Roman"/>
          <w:b/>
          <w:bCs/>
          <w:color w:val="auto"/>
          <w:sz w:val="20"/>
          <w:szCs w:val="20"/>
          <w:highlight w:val="none"/>
          <w:lang w:val="en-US" w:eastAsia="zh-CN" w:bidi="ar-SA"/>
        </w:rPr>
        <w:t xml:space="preserve">,  </w:t>
      </w:r>
    </w:p>
    <w:p>
      <w:pPr>
        <w:pStyle w:val="12"/>
        <w:keepNext w:val="0"/>
        <w:keepLines w:val="0"/>
        <w:pageBreakBefore w:val="0"/>
        <w:widowControl/>
        <w:numPr>
          <w:ilvl w:val="0"/>
          <w:numId w:val="5"/>
        </w:numPr>
        <w:kinsoku/>
        <w:wordWrap/>
        <w:overflowPunct/>
        <w:topLinePunct w:val="0"/>
        <w:autoSpaceDE/>
        <w:autoSpaceDN/>
        <w:bidi w:val="0"/>
        <w:adjustRightInd/>
        <w:snapToGrid/>
        <w:spacing w:after="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If following the definition in 8.3.2, they should be positive value;</w:t>
      </w:r>
    </w:p>
    <w:p>
      <w:pPr>
        <w:pStyle w:val="12"/>
        <w:keepNext w:val="0"/>
        <w:keepLines w:val="0"/>
        <w:pageBreakBefore w:val="0"/>
        <w:widowControl/>
        <w:numPr>
          <w:ilvl w:val="0"/>
          <w:numId w:val="5"/>
        </w:numPr>
        <w:kinsoku/>
        <w:wordWrap/>
        <w:overflowPunct/>
        <w:topLinePunct w:val="0"/>
        <w:autoSpaceDE/>
        <w:autoSpaceDN/>
        <w:bidi w:val="0"/>
        <w:adjustRightInd/>
        <w:snapToGrid/>
        <w:spacing w:after="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If following the definition in 8.3.17, they should be negative value.</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eastAsia="宋体" w:cs="Times New Roman"/>
          <w:b/>
          <w:bCs/>
          <w:color w:val="auto"/>
          <w:sz w:val="20"/>
          <w:szCs w:val="20"/>
          <w:highlight w:val="none"/>
          <w:lang w:val="en-US" w:eastAsia="zh-CN" w:bidi="ar-SA"/>
        </w:rPr>
      </w:pP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If following the requirement of 8.3.2, the UE behavior and requirement is not consistent, the the delay from TCI state indication to L3 reporting actually exists, but no component captures this part in the requirement.</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If following the requirement of 8.3.17, the UE behavior and requirement is consistent.</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eastAsia="宋体" w:cs="Times New Roman"/>
          <w:b/>
          <w:bCs/>
          <w:color w:val="auto"/>
          <w:sz w:val="20"/>
          <w:szCs w:val="20"/>
          <w:highlight w:val="none"/>
          <w:lang w:val="en-US" w:eastAsia="zh-CN" w:bidi="ar-SA"/>
        </w:rPr>
      </w:pP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Two alternatives to address this case:</w:t>
      </w:r>
    </w:p>
    <w:p>
      <w:pPr>
        <w:pStyle w:val="12"/>
        <w:keepNext w:val="0"/>
        <w:keepLines w:val="0"/>
        <w:pageBreakBefore w:val="0"/>
        <w:widowControl/>
        <w:numPr>
          <w:ilvl w:val="0"/>
          <w:numId w:val="5"/>
        </w:numPr>
        <w:kinsoku/>
        <w:wordWrap/>
        <w:overflowPunct/>
        <w:topLinePunct w:val="0"/>
        <w:autoSpaceDE/>
        <w:autoSpaceDN/>
        <w:bidi w:val="0"/>
        <w:adjustRightInd/>
        <w:snapToGrid/>
        <w:spacing w:after="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Alt 1: Reuse the requirement defined in 8.3.2, the uncertainty part </w:t>
      </w:r>
      <w:r>
        <w:rPr>
          <w:rFonts w:hint="eastAsia" w:eastAsia="宋体"/>
          <w:b/>
          <w:bCs w:val="0"/>
          <w:color w:val="auto"/>
          <w:sz w:val="20"/>
          <w:szCs w:val="20"/>
          <w:lang w:val="en-US" w:eastAsia="zh-CN"/>
        </w:rPr>
        <w:t>T</w:t>
      </w:r>
      <w:r>
        <w:rPr>
          <w:rFonts w:hint="eastAsia" w:eastAsia="宋体"/>
          <w:b/>
          <w:bCs w:val="0"/>
          <w:color w:val="auto"/>
          <w:sz w:val="11"/>
          <w:szCs w:val="11"/>
          <w:lang w:val="en-US" w:eastAsia="zh-CN"/>
        </w:rPr>
        <w:t>uncertainty_MAC</w:t>
      </w:r>
      <w:r>
        <w:rPr>
          <w:rFonts w:hint="eastAsia" w:eastAsia="宋体"/>
          <w:b/>
          <w:bCs w:val="0"/>
          <w:color w:val="auto"/>
          <w:sz w:val="20"/>
          <w:szCs w:val="20"/>
          <w:lang w:val="en-US" w:eastAsia="zh-CN"/>
        </w:rPr>
        <w:t>, T</w:t>
      </w:r>
      <w:r>
        <w:rPr>
          <w:rFonts w:hint="eastAsia" w:eastAsia="宋体"/>
          <w:b/>
          <w:bCs w:val="0"/>
          <w:color w:val="auto"/>
          <w:sz w:val="11"/>
          <w:szCs w:val="11"/>
          <w:lang w:val="en-US" w:eastAsia="zh-CN"/>
        </w:rPr>
        <w:t xml:space="preserve">uncertainty_RRC </w:t>
      </w:r>
      <w:r>
        <w:rPr>
          <w:rFonts w:hint="eastAsia" w:eastAsia="宋体"/>
          <w:b/>
          <w:bCs w:val="0"/>
          <w:color w:val="auto"/>
          <w:sz w:val="20"/>
          <w:szCs w:val="20"/>
          <w:lang w:val="en-US" w:eastAsia="zh-CN"/>
        </w:rPr>
        <w:t>and T</w:t>
      </w:r>
      <w:r>
        <w:rPr>
          <w:rFonts w:hint="eastAsia" w:eastAsia="宋体"/>
          <w:b/>
          <w:bCs w:val="0"/>
          <w:color w:val="auto"/>
          <w:sz w:val="11"/>
          <w:szCs w:val="11"/>
          <w:lang w:val="en-US" w:eastAsia="zh-CN"/>
        </w:rPr>
        <w:t xml:space="preserve">uncertainty_SP </w:t>
      </w:r>
      <w:r>
        <w:rPr>
          <w:rFonts w:hint="eastAsia" w:eastAsia="宋体" w:cs="Times New Roman"/>
          <w:b/>
          <w:bCs/>
          <w:color w:val="auto"/>
          <w:sz w:val="20"/>
          <w:szCs w:val="20"/>
          <w:highlight w:val="none"/>
          <w:lang w:val="en-US" w:eastAsia="zh-CN" w:bidi="ar-SA"/>
        </w:rPr>
        <w:t>are positive value under this case. UE would not report L3 reporting after receiving the TCI state indication.</w:t>
      </w:r>
    </w:p>
    <w:p>
      <w:pPr>
        <w:pStyle w:val="12"/>
        <w:keepNext w:val="0"/>
        <w:keepLines w:val="0"/>
        <w:pageBreakBefore w:val="0"/>
        <w:widowControl/>
        <w:numPr>
          <w:ilvl w:val="0"/>
          <w:numId w:val="5"/>
        </w:numPr>
        <w:kinsoku/>
        <w:wordWrap/>
        <w:overflowPunct/>
        <w:topLinePunct w:val="0"/>
        <w:autoSpaceDE/>
        <w:autoSpaceDN/>
        <w:bidi w:val="0"/>
        <w:adjustRightInd/>
        <w:snapToGrid/>
        <w:spacing w:after="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Alt 2: Follow the requirement defined in 8.3.17, add some clarification on the uncertainty part </w:t>
      </w:r>
      <w:r>
        <w:rPr>
          <w:rFonts w:hint="eastAsia" w:eastAsia="宋体"/>
          <w:b/>
          <w:bCs w:val="0"/>
          <w:color w:val="auto"/>
          <w:sz w:val="20"/>
          <w:szCs w:val="20"/>
          <w:lang w:val="en-US" w:eastAsia="zh-CN"/>
        </w:rPr>
        <w:t>T</w:t>
      </w:r>
      <w:r>
        <w:rPr>
          <w:rFonts w:hint="eastAsia" w:eastAsia="宋体"/>
          <w:b/>
          <w:bCs w:val="0"/>
          <w:color w:val="auto"/>
          <w:sz w:val="11"/>
          <w:szCs w:val="11"/>
          <w:lang w:val="en-US" w:eastAsia="zh-CN"/>
        </w:rPr>
        <w:t>uncertainty_MAC</w:t>
      </w:r>
      <w:r>
        <w:rPr>
          <w:rFonts w:hint="eastAsia" w:eastAsia="宋体"/>
          <w:b/>
          <w:bCs w:val="0"/>
          <w:color w:val="auto"/>
          <w:sz w:val="20"/>
          <w:szCs w:val="20"/>
          <w:lang w:val="en-US" w:eastAsia="zh-CN"/>
        </w:rPr>
        <w:t>, T</w:t>
      </w:r>
      <w:r>
        <w:rPr>
          <w:rFonts w:hint="eastAsia" w:eastAsia="宋体"/>
          <w:b/>
          <w:bCs w:val="0"/>
          <w:color w:val="auto"/>
          <w:sz w:val="11"/>
          <w:szCs w:val="11"/>
          <w:lang w:val="en-US" w:eastAsia="zh-CN"/>
        </w:rPr>
        <w:t xml:space="preserve">uncertainty_RRC </w:t>
      </w:r>
      <w:r>
        <w:rPr>
          <w:rFonts w:hint="eastAsia" w:eastAsia="宋体"/>
          <w:b/>
          <w:bCs w:val="0"/>
          <w:color w:val="auto"/>
          <w:sz w:val="20"/>
          <w:szCs w:val="20"/>
          <w:lang w:val="en-US" w:eastAsia="zh-CN"/>
        </w:rPr>
        <w:t>and T</w:t>
      </w:r>
      <w:r>
        <w:rPr>
          <w:rFonts w:hint="eastAsia" w:eastAsia="宋体"/>
          <w:b/>
          <w:bCs w:val="0"/>
          <w:color w:val="auto"/>
          <w:sz w:val="11"/>
          <w:szCs w:val="11"/>
          <w:lang w:val="en-US" w:eastAsia="zh-CN"/>
        </w:rPr>
        <w:t xml:space="preserve">uncertainty_SP </w:t>
      </w:r>
      <w:r>
        <w:rPr>
          <w:rFonts w:hint="eastAsia" w:eastAsia="宋体" w:cs="Times New Roman"/>
          <w:b/>
          <w:bCs/>
          <w:color w:val="auto"/>
          <w:sz w:val="20"/>
          <w:szCs w:val="20"/>
          <w:highlight w:val="none"/>
          <w:lang w:val="en-US" w:eastAsia="zh-CN" w:bidi="ar-SA"/>
        </w:rPr>
        <w:t xml:space="preserve">are zero under this case. </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Alt 2 is preferred by us due to less spec impact.</w:t>
      </w:r>
      <w:bookmarkStart w:id="0" w:name="_GoBack"/>
      <w:bookmarkEnd w:id="0"/>
    </w:p>
    <w:p>
      <w:pPr>
        <w:pStyle w:val="12"/>
        <w:tabs>
          <w:tab w:val="left" w:pos="226"/>
          <w:tab w:val="left" w:pos="284"/>
          <w:tab w:val="left" w:pos="5103"/>
        </w:tabs>
        <w:snapToGrid w:val="0"/>
        <w:rPr>
          <w:rFonts w:eastAsia="宋体"/>
          <w:bCs/>
          <w:color w:val="auto"/>
          <w:sz w:val="20"/>
          <w:szCs w:val="20"/>
          <w:lang w:val="en-GB"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7"/>
        <w:numPr>
          <w:ilvl w:val="0"/>
          <w:numId w:val="6"/>
        </w:numPr>
        <w:ind w:leftChars="0"/>
        <w:rPr>
          <w:rFonts w:hint="default"/>
          <w:color w:val="auto"/>
          <w:lang w:val="en-US" w:eastAsia="zh-CN"/>
        </w:rPr>
      </w:pPr>
      <w:r>
        <w:rPr>
          <w:rFonts w:hint="eastAsia"/>
          <w:color w:val="auto"/>
          <w:lang w:val="en-US" w:eastAsia="zh-CN"/>
        </w:rPr>
        <w:t xml:space="preserve">R4-2412599 </w:t>
      </w:r>
      <w:r>
        <w:rPr>
          <w:rFonts w:hint="default"/>
          <w:color w:val="auto"/>
          <w:lang w:val="en-US" w:eastAsia="zh-CN"/>
        </w:rPr>
        <w:t>“Discussion on maintenance of RRM requirements for R18 RRM_enh3”</w:t>
      </w:r>
      <w:r>
        <w:rPr>
          <w:rFonts w:hint="eastAsia"/>
          <w:color w:val="auto"/>
          <w:lang w:val="en-US" w:eastAsia="zh-CN"/>
        </w:rPr>
        <w:t>, vivo</w:t>
      </w:r>
    </w:p>
    <w:p>
      <w:pPr>
        <w:pStyle w:val="7"/>
        <w:numPr>
          <w:ilvl w:val="0"/>
          <w:numId w:val="6"/>
        </w:numPr>
        <w:ind w:leftChars="0"/>
        <w:rPr>
          <w:rFonts w:hint="default"/>
          <w:color w:val="auto"/>
          <w:lang w:val="en-US" w:eastAsia="zh-CN"/>
        </w:rPr>
      </w:pPr>
      <w:r>
        <w:rPr>
          <w:rFonts w:hint="eastAsia"/>
          <w:color w:val="auto"/>
          <w:lang w:val="en-US" w:eastAsia="zh-CN"/>
        </w:rPr>
        <w:t xml:space="preserve">R4-2419279 </w:t>
      </w:r>
      <w:r>
        <w:rPr>
          <w:rFonts w:hint="default"/>
          <w:color w:val="auto"/>
          <w:lang w:val="en-US" w:eastAsia="zh-CN"/>
        </w:rPr>
        <w:t>“CR on core part of R18 SCell activation enhancement”</w:t>
      </w:r>
      <w:r>
        <w:rPr>
          <w:rFonts w:hint="eastAsia"/>
          <w:color w:val="auto"/>
          <w:lang w:val="en-US" w:eastAsia="zh-CN"/>
        </w:rPr>
        <w:t>, ZTE</w:t>
      </w:r>
    </w:p>
    <w:p>
      <w:pPr>
        <w:pStyle w:val="7"/>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PMincho"/>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PMincho">
    <w:panose1 w:val="02020600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FA8E4D4"/>
    <w:multiLevelType w:val="singleLevel"/>
    <w:tmpl w:val="1FA8E4D4"/>
    <w:lvl w:ilvl="0" w:tentative="0">
      <w:start w:val="1"/>
      <w:numFmt w:val="bullet"/>
      <w:lvlText w:val=""/>
      <w:lvlJc w:val="left"/>
      <w:pPr>
        <w:ind w:left="420" w:hanging="420"/>
      </w:pPr>
      <w:rPr>
        <w:rFonts w:hint="default" w:ascii="Wingdings" w:hAnsi="Wingdings"/>
      </w:rPr>
    </w:lvl>
  </w:abstractNum>
  <w:abstractNum w:abstractNumId="2">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1260"/>
        </w:tabs>
        <w:ind w:left="-324" w:hanging="360"/>
      </w:pPr>
      <w:rPr>
        <w:rFonts w:hint="default" w:ascii="Symbol" w:hAnsi="Symbol"/>
      </w:rPr>
    </w:lvl>
    <w:lvl w:ilvl="1" w:tentative="0">
      <w:start w:val="1"/>
      <w:numFmt w:val="bullet"/>
      <w:pStyle w:val="61"/>
      <w:lvlText w:val="o"/>
      <w:lvlJc w:val="left"/>
      <w:pPr>
        <w:tabs>
          <w:tab w:val="left" w:pos="-1260"/>
        </w:tabs>
        <w:ind w:left="396" w:hanging="360"/>
      </w:pPr>
      <w:rPr>
        <w:rFonts w:hint="default" w:ascii="Courier New" w:hAnsi="Courier New" w:cs="Courier New"/>
      </w:rPr>
    </w:lvl>
    <w:lvl w:ilvl="2" w:tentative="0">
      <w:start w:val="1"/>
      <w:numFmt w:val="bullet"/>
      <w:lvlText w:val=""/>
      <w:lvlJc w:val="left"/>
      <w:pPr>
        <w:tabs>
          <w:tab w:val="left" w:pos="-1260"/>
        </w:tabs>
        <w:ind w:left="1116" w:hanging="360"/>
      </w:pPr>
      <w:rPr>
        <w:rFonts w:hint="default" w:ascii="Wingdings" w:hAnsi="Wingdings"/>
      </w:rPr>
    </w:lvl>
    <w:lvl w:ilvl="3" w:tentative="0">
      <w:start w:val="1"/>
      <w:numFmt w:val="bullet"/>
      <w:lvlText w:val=""/>
      <w:lvlJc w:val="left"/>
      <w:pPr>
        <w:tabs>
          <w:tab w:val="left" w:pos="-1260"/>
        </w:tabs>
        <w:ind w:left="1836" w:hanging="360"/>
      </w:pPr>
      <w:rPr>
        <w:rFonts w:hint="default" w:ascii="Symbol" w:hAnsi="Symbol"/>
      </w:rPr>
    </w:lvl>
    <w:lvl w:ilvl="4" w:tentative="0">
      <w:start w:val="1"/>
      <w:numFmt w:val="bullet"/>
      <w:lvlText w:val="o"/>
      <w:lvlJc w:val="left"/>
      <w:pPr>
        <w:tabs>
          <w:tab w:val="left" w:pos="-1260"/>
        </w:tabs>
        <w:ind w:left="2556" w:hanging="360"/>
      </w:pPr>
      <w:rPr>
        <w:rFonts w:hint="default" w:ascii="Courier New" w:hAnsi="Courier New" w:cs="Courier New"/>
      </w:rPr>
    </w:lvl>
    <w:lvl w:ilvl="5" w:tentative="0">
      <w:start w:val="1"/>
      <w:numFmt w:val="bullet"/>
      <w:lvlText w:val=""/>
      <w:lvlJc w:val="left"/>
      <w:pPr>
        <w:tabs>
          <w:tab w:val="left" w:pos="-1260"/>
        </w:tabs>
        <w:ind w:left="3276" w:hanging="360"/>
      </w:pPr>
      <w:rPr>
        <w:rFonts w:hint="default" w:ascii="Wingdings" w:hAnsi="Wingdings"/>
      </w:rPr>
    </w:lvl>
    <w:lvl w:ilvl="6" w:tentative="0">
      <w:start w:val="1"/>
      <w:numFmt w:val="bullet"/>
      <w:lvlText w:val=""/>
      <w:lvlJc w:val="left"/>
      <w:pPr>
        <w:tabs>
          <w:tab w:val="left" w:pos="-1260"/>
        </w:tabs>
        <w:ind w:left="3996" w:hanging="360"/>
      </w:pPr>
      <w:rPr>
        <w:rFonts w:hint="default" w:ascii="Symbol" w:hAnsi="Symbol"/>
      </w:rPr>
    </w:lvl>
    <w:lvl w:ilvl="7" w:tentative="0">
      <w:start w:val="1"/>
      <w:numFmt w:val="bullet"/>
      <w:lvlText w:val="o"/>
      <w:lvlJc w:val="left"/>
      <w:pPr>
        <w:tabs>
          <w:tab w:val="left" w:pos="-1260"/>
        </w:tabs>
        <w:ind w:left="4716" w:hanging="360"/>
      </w:pPr>
      <w:rPr>
        <w:rFonts w:hint="default" w:ascii="Courier New" w:hAnsi="Courier New" w:cs="Courier New"/>
      </w:rPr>
    </w:lvl>
    <w:lvl w:ilvl="8" w:tentative="0">
      <w:start w:val="1"/>
      <w:numFmt w:val="bullet"/>
      <w:lvlText w:val=""/>
      <w:lvlJc w:val="left"/>
      <w:pPr>
        <w:tabs>
          <w:tab w:val="left" w:pos="-1260"/>
        </w:tabs>
        <w:ind w:left="5436" w:hanging="360"/>
      </w:pPr>
      <w:rPr>
        <w:rFonts w:hint="default" w:ascii="Wingdings" w:hAnsi="Wingdings"/>
      </w:rPr>
    </w:lvl>
  </w:abstractNum>
  <w:abstractNum w:abstractNumId="4">
    <w:nsid w:val="6B5B4F67"/>
    <w:multiLevelType w:val="multilevel"/>
    <w:tmpl w:val="6B5B4F67"/>
    <w:lvl w:ilvl="0" w:tentative="0">
      <w:start w:val="1"/>
      <w:numFmt w:val="decimal"/>
      <w:pStyle w:val="7"/>
      <w:lvlText w:val="[%1]"/>
      <w:lvlJc w:val="left"/>
      <w:pPr>
        <w:ind w:left="200" w:hanging="420"/>
      </w:pPr>
      <w:rPr>
        <w:rFonts w:hint="eastAsia"/>
      </w:rPr>
    </w:lvl>
    <w:lvl w:ilvl="1" w:tentative="0">
      <w:start w:val="1"/>
      <w:numFmt w:val="lowerLetter"/>
      <w:lvlText w:val="%2)"/>
      <w:lvlJc w:val="left"/>
      <w:pPr>
        <w:ind w:left="262" w:hanging="420"/>
      </w:pPr>
    </w:lvl>
    <w:lvl w:ilvl="2" w:tentative="0">
      <w:start w:val="1"/>
      <w:numFmt w:val="lowerRoman"/>
      <w:lvlText w:val="%3."/>
      <w:lvlJc w:val="right"/>
      <w:pPr>
        <w:ind w:left="682" w:hanging="420"/>
      </w:pPr>
    </w:lvl>
    <w:lvl w:ilvl="3" w:tentative="0">
      <w:start w:val="1"/>
      <w:numFmt w:val="decimal"/>
      <w:lvlText w:val="%4."/>
      <w:lvlJc w:val="left"/>
      <w:pPr>
        <w:ind w:left="1102" w:hanging="420"/>
      </w:pPr>
    </w:lvl>
    <w:lvl w:ilvl="4" w:tentative="0">
      <w:start w:val="1"/>
      <w:numFmt w:val="lowerLetter"/>
      <w:lvlText w:val="%5)"/>
      <w:lvlJc w:val="left"/>
      <w:pPr>
        <w:ind w:left="1522" w:hanging="420"/>
      </w:pPr>
    </w:lvl>
    <w:lvl w:ilvl="5" w:tentative="0">
      <w:start w:val="1"/>
      <w:numFmt w:val="lowerRoman"/>
      <w:lvlText w:val="%6."/>
      <w:lvlJc w:val="right"/>
      <w:pPr>
        <w:ind w:left="1942" w:hanging="420"/>
      </w:pPr>
    </w:lvl>
    <w:lvl w:ilvl="6" w:tentative="0">
      <w:start w:val="1"/>
      <w:numFmt w:val="decimal"/>
      <w:lvlText w:val="%7."/>
      <w:lvlJc w:val="left"/>
      <w:pPr>
        <w:ind w:left="2362" w:hanging="420"/>
      </w:pPr>
    </w:lvl>
    <w:lvl w:ilvl="7" w:tentative="0">
      <w:start w:val="1"/>
      <w:numFmt w:val="lowerLetter"/>
      <w:lvlText w:val="%8)"/>
      <w:lvlJc w:val="left"/>
      <w:pPr>
        <w:ind w:left="2782" w:hanging="420"/>
      </w:pPr>
    </w:lvl>
    <w:lvl w:ilvl="8" w:tentative="0">
      <w:start w:val="1"/>
      <w:numFmt w:val="lowerRoman"/>
      <w:lvlText w:val="%9."/>
      <w:lvlJc w:val="right"/>
      <w:pPr>
        <w:ind w:left="3202" w:hanging="420"/>
      </w:pPr>
    </w:lvl>
  </w:abstractNum>
  <w:abstractNum w:abstractNumId="5">
    <w:nsid w:val="6D132084"/>
    <w:multiLevelType w:val="singleLevel"/>
    <w:tmpl w:val="6D132084"/>
    <w:lvl w:ilvl="0" w:tentative="0">
      <w:start w:val="1"/>
      <w:numFmt w:val="decimal"/>
      <w:suff w:val="space"/>
      <w:lvlText w:val="[%1]"/>
      <w:lvlJc w:val="left"/>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7A5"/>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19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463692"/>
    <w:rsid w:val="01891204"/>
    <w:rsid w:val="01F37ADA"/>
    <w:rsid w:val="028B6A1D"/>
    <w:rsid w:val="028F1C3E"/>
    <w:rsid w:val="037D0CB3"/>
    <w:rsid w:val="037E115D"/>
    <w:rsid w:val="03D4720A"/>
    <w:rsid w:val="04026226"/>
    <w:rsid w:val="04654053"/>
    <w:rsid w:val="04793516"/>
    <w:rsid w:val="047A3CFF"/>
    <w:rsid w:val="04F403D8"/>
    <w:rsid w:val="05317828"/>
    <w:rsid w:val="053A2B03"/>
    <w:rsid w:val="05477E90"/>
    <w:rsid w:val="05BB5AB9"/>
    <w:rsid w:val="05C42923"/>
    <w:rsid w:val="06963BA6"/>
    <w:rsid w:val="06D6697E"/>
    <w:rsid w:val="075928A1"/>
    <w:rsid w:val="07CD3CDD"/>
    <w:rsid w:val="0855671D"/>
    <w:rsid w:val="08777F6D"/>
    <w:rsid w:val="089009EB"/>
    <w:rsid w:val="096641FF"/>
    <w:rsid w:val="09716BCA"/>
    <w:rsid w:val="09D64B23"/>
    <w:rsid w:val="09DB5AE9"/>
    <w:rsid w:val="09E644B8"/>
    <w:rsid w:val="0B12013A"/>
    <w:rsid w:val="0B3D3C2F"/>
    <w:rsid w:val="0BB0429A"/>
    <w:rsid w:val="0BFF5FC6"/>
    <w:rsid w:val="0C394019"/>
    <w:rsid w:val="0CF856E7"/>
    <w:rsid w:val="0D2A60F1"/>
    <w:rsid w:val="0D587851"/>
    <w:rsid w:val="0E520C38"/>
    <w:rsid w:val="0E871F55"/>
    <w:rsid w:val="0EB60EDD"/>
    <w:rsid w:val="0F7514C6"/>
    <w:rsid w:val="0FB6689B"/>
    <w:rsid w:val="10832C30"/>
    <w:rsid w:val="10997F43"/>
    <w:rsid w:val="10DE7BAE"/>
    <w:rsid w:val="110768ED"/>
    <w:rsid w:val="120774A3"/>
    <w:rsid w:val="124D1C25"/>
    <w:rsid w:val="12866C44"/>
    <w:rsid w:val="13262C7B"/>
    <w:rsid w:val="136B3851"/>
    <w:rsid w:val="13B66EB5"/>
    <w:rsid w:val="14006D19"/>
    <w:rsid w:val="14337DBF"/>
    <w:rsid w:val="1481754F"/>
    <w:rsid w:val="148F5721"/>
    <w:rsid w:val="14AC57CD"/>
    <w:rsid w:val="14B90DF6"/>
    <w:rsid w:val="159C76CB"/>
    <w:rsid w:val="15C37DEC"/>
    <w:rsid w:val="15ED3E9B"/>
    <w:rsid w:val="164514BE"/>
    <w:rsid w:val="16CD72CF"/>
    <w:rsid w:val="17065891"/>
    <w:rsid w:val="170F06AA"/>
    <w:rsid w:val="17225508"/>
    <w:rsid w:val="17564923"/>
    <w:rsid w:val="17C63C83"/>
    <w:rsid w:val="180A6E32"/>
    <w:rsid w:val="1825042E"/>
    <w:rsid w:val="183F2CD2"/>
    <w:rsid w:val="1856323E"/>
    <w:rsid w:val="18AF55E3"/>
    <w:rsid w:val="18B1519A"/>
    <w:rsid w:val="18CD0507"/>
    <w:rsid w:val="195D7D48"/>
    <w:rsid w:val="196E39FC"/>
    <w:rsid w:val="197B756F"/>
    <w:rsid w:val="19884F63"/>
    <w:rsid w:val="19960536"/>
    <w:rsid w:val="1AD01A1B"/>
    <w:rsid w:val="1B3C3255"/>
    <w:rsid w:val="1B61065A"/>
    <w:rsid w:val="1B731483"/>
    <w:rsid w:val="1BBF3927"/>
    <w:rsid w:val="1BD261F4"/>
    <w:rsid w:val="1C177B08"/>
    <w:rsid w:val="1C702C80"/>
    <w:rsid w:val="1C9001C6"/>
    <w:rsid w:val="1CBA2101"/>
    <w:rsid w:val="1CC2157E"/>
    <w:rsid w:val="1D0573D7"/>
    <w:rsid w:val="1D153DC4"/>
    <w:rsid w:val="1D223E0B"/>
    <w:rsid w:val="1E132F88"/>
    <w:rsid w:val="1E2867E9"/>
    <w:rsid w:val="1E513650"/>
    <w:rsid w:val="1E853F6F"/>
    <w:rsid w:val="1E9C7BCC"/>
    <w:rsid w:val="1EC87896"/>
    <w:rsid w:val="1ECC1E3C"/>
    <w:rsid w:val="20080741"/>
    <w:rsid w:val="20933D8F"/>
    <w:rsid w:val="20AE781D"/>
    <w:rsid w:val="20C806F7"/>
    <w:rsid w:val="21014C39"/>
    <w:rsid w:val="21244EB1"/>
    <w:rsid w:val="213964D8"/>
    <w:rsid w:val="214F3475"/>
    <w:rsid w:val="21595D04"/>
    <w:rsid w:val="21F13629"/>
    <w:rsid w:val="2305377E"/>
    <w:rsid w:val="24122135"/>
    <w:rsid w:val="24220030"/>
    <w:rsid w:val="24D4257E"/>
    <w:rsid w:val="24D7783C"/>
    <w:rsid w:val="25490B44"/>
    <w:rsid w:val="2572202B"/>
    <w:rsid w:val="2605683C"/>
    <w:rsid w:val="260C4DC9"/>
    <w:rsid w:val="269452A9"/>
    <w:rsid w:val="26BB1419"/>
    <w:rsid w:val="2732686A"/>
    <w:rsid w:val="273D2956"/>
    <w:rsid w:val="27B748AA"/>
    <w:rsid w:val="27CB4CB9"/>
    <w:rsid w:val="27D31A52"/>
    <w:rsid w:val="27FC40F8"/>
    <w:rsid w:val="28121B1E"/>
    <w:rsid w:val="281C2F58"/>
    <w:rsid w:val="28B11127"/>
    <w:rsid w:val="28DC7602"/>
    <w:rsid w:val="29642C4B"/>
    <w:rsid w:val="296569C3"/>
    <w:rsid w:val="2A34628C"/>
    <w:rsid w:val="2A724D05"/>
    <w:rsid w:val="2A7E505C"/>
    <w:rsid w:val="2AC85686"/>
    <w:rsid w:val="2AD04B5F"/>
    <w:rsid w:val="2AF821D7"/>
    <w:rsid w:val="2BC05B2C"/>
    <w:rsid w:val="2BD617C5"/>
    <w:rsid w:val="2C112837"/>
    <w:rsid w:val="2C18208A"/>
    <w:rsid w:val="2CAE0227"/>
    <w:rsid w:val="2D586EBF"/>
    <w:rsid w:val="2D6F3D99"/>
    <w:rsid w:val="2DC04760"/>
    <w:rsid w:val="2E014790"/>
    <w:rsid w:val="2E082A14"/>
    <w:rsid w:val="2EBA1DF4"/>
    <w:rsid w:val="2EE77680"/>
    <w:rsid w:val="2F125914"/>
    <w:rsid w:val="2F2F0FC8"/>
    <w:rsid w:val="2F546C88"/>
    <w:rsid w:val="2F57467C"/>
    <w:rsid w:val="2FBC15C5"/>
    <w:rsid w:val="301C6BB6"/>
    <w:rsid w:val="30220150"/>
    <w:rsid w:val="30571E20"/>
    <w:rsid w:val="30B0078A"/>
    <w:rsid w:val="31894491"/>
    <w:rsid w:val="319708F2"/>
    <w:rsid w:val="31B14C9E"/>
    <w:rsid w:val="33C522D7"/>
    <w:rsid w:val="347A51A8"/>
    <w:rsid w:val="34807672"/>
    <w:rsid w:val="34921EC4"/>
    <w:rsid w:val="34A82967"/>
    <w:rsid w:val="34E62056"/>
    <w:rsid w:val="3509099B"/>
    <w:rsid w:val="35B06C6A"/>
    <w:rsid w:val="363D6078"/>
    <w:rsid w:val="36941AA2"/>
    <w:rsid w:val="36D37423"/>
    <w:rsid w:val="36FF6E30"/>
    <w:rsid w:val="370E71B8"/>
    <w:rsid w:val="379D23F9"/>
    <w:rsid w:val="37E12984"/>
    <w:rsid w:val="3840202A"/>
    <w:rsid w:val="390F18D5"/>
    <w:rsid w:val="3A185287"/>
    <w:rsid w:val="3A1F46B8"/>
    <w:rsid w:val="3A692CD0"/>
    <w:rsid w:val="3B270929"/>
    <w:rsid w:val="3B3D5571"/>
    <w:rsid w:val="3B673620"/>
    <w:rsid w:val="3B9A1F29"/>
    <w:rsid w:val="3C5F7C72"/>
    <w:rsid w:val="3CE4646B"/>
    <w:rsid w:val="3D5E7AA8"/>
    <w:rsid w:val="3D6F2596"/>
    <w:rsid w:val="3F836EE6"/>
    <w:rsid w:val="405F175E"/>
    <w:rsid w:val="40C765F3"/>
    <w:rsid w:val="41A2534B"/>
    <w:rsid w:val="41A41A16"/>
    <w:rsid w:val="41BD7DAD"/>
    <w:rsid w:val="42F869D2"/>
    <w:rsid w:val="43285B25"/>
    <w:rsid w:val="43553536"/>
    <w:rsid w:val="43806620"/>
    <w:rsid w:val="443A3304"/>
    <w:rsid w:val="44972678"/>
    <w:rsid w:val="44E85A06"/>
    <w:rsid w:val="451632B9"/>
    <w:rsid w:val="45193F0F"/>
    <w:rsid w:val="4576356B"/>
    <w:rsid w:val="457B4C4B"/>
    <w:rsid w:val="45906394"/>
    <w:rsid w:val="45C25C23"/>
    <w:rsid w:val="45F60A50"/>
    <w:rsid w:val="46142D0C"/>
    <w:rsid w:val="46970A81"/>
    <w:rsid w:val="4697115A"/>
    <w:rsid w:val="46B036BF"/>
    <w:rsid w:val="46C73401"/>
    <w:rsid w:val="47185425"/>
    <w:rsid w:val="47282363"/>
    <w:rsid w:val="49525C50"/>
    <w:rsid w:val="49DC4EAC"/>
    <w:rsid w:val="49E55BC5"/>
    <w:rsid w:val="4B3B06EC"/>
    <w:rsid w:val="4B6E5E44"/>
    <w:rsid w:val="4BF24EEB"/>
    <w:rsid w:val="4C1C63D6"/>
    <w:rsid w:val="4C864A35"/>
    <w:rsid w:val="4CB867ED"/>
    <w:rsid w:val="4CD61886"/>
    <w:rsid w:val="4E015C76"/>
    <w:rsid w:val="4E310026"/>
    <w:rsid w:val="4E4A2325"/>
    <w:rsid w:val="4EF1548F"/>
    <w:rsid w:val="4F2948F1"/>
    <w:rsid w:val="4F2D3B14"/>
    <w:rsid w:val="4F5C5331"/>
    <w:rsid w:val="501A6C55"/>
    <w:rsid w:val="505E1A7C"/>
    <w:rsid w:val="5086431A"/>
    <w:rsid w:val="51B14BED"/>
    <w:rsid w:val="52313D62"/>
    <w:rsid w:val="52526454"/>
    <w:rsid w:val="525C1CEF"/>
    <w:rsid w:val="528B5767"/>
    <w:rsid w:val="52C700B1"/>
    <w:rsid w:val="52D33625"/>
    <w:rsid w:val="53A3105E"/>
    <w:rsid w:val="53C64B93"/>
    <w:rsid w:val="53D64D18"/>
    <w:rsid w:val="54283FDA"/>
    <w:rsid w:val="548A6C60"/>
    <w:rsid w:val="5534082B"/>
    <w:rsid w:val="55B1164D"/>
    <w:rsid w:val="55B4735E"/>
    <w:rsid w:val="55BB221D"/>
    <w:rsid w:val="55F52EA4"/>
    <w:rsid w:val="5604091D"/>
    <w:rsid w:val="56371459"/>
    <w:rsid w:val="56484633"/>
    <w:rsid w:val="56EB15F8"/>
    <w:rsid w:val="58D0053D"/>
    <w:rsid w:val="58DB5C96"/>
    <w:rsid w:val="5963100F"/>
    <w:rsid w:val="598C40A0"/>
    <w:rsid w:val="59DA647E"/>
    <w:rsid w:val="5A472BD1"/>
    <w:rsid w:val="5A556E1A"/>
    <w:rsid w:val="5A607E19"/>
    <w:rsid w:val="5C094F4D"/>
    <w:rsid w:val="5C876D53"/>
    <w:rsid w:val="5CFD1122"/>
    <w:rsid w:val="5E283A0C"/>
    <w:rsid w:val="5E2864D0"/>
    <w:rsid w:val="5E494511"/>
    <w:rsid w:val="5E531A2E"/>
    <w:rsid w:val="5EB44FC0"/>
    <w:rsid w:val="5FBA395F"/>
    <w:rsid w:val="60EC2CBA"/>
    <w:rsid w:val="60EE2705"/>
    <w:rsid w:val="61BD018E"/>
    <w:rsid w:val="61CC2D28"/>
    <w:rsid w:val="63476641"/>
    <w:rsid w:val="635902CD"/>
    <w:rsid w:val="635E6E54"/>
    <w:rsid w:val="640F0A9C"/>
    <w:rsid w:val="64706BBE"/>
    <w:rsid w:val="64EE5D7F"/>
    <w:rsid w:val="64F2095B"/>
    <w:rsid w:val="655E2D01"/>
    <w:rsid w:val="663429C9"/>
    <w:rsid w:val="66837EAF"/>
    <w:rsid w:val="67A858DB"/>
    <w:rsid w:val="67C776ED"/>
    <w:rsid w:val="67FE4166"/>
    <w:rsid w:val="68C401C3"/>
    <w:rsid w:val="69A833BD"/>
    <w:rsid w:val="6A9360AB"/>
    <w:rsid w:val="6AB215EC"/>
    <w:rsid w:val="6C742572"/>
    <w:rsid w:val="6C952210"/>
    <w:rsid w:val="6CAE59F5"/>
    <w:rsid w:val="6CD425A8"/>
    <w:rsid w:val="6D023321"/>
    <w:rsid w:val="6D452195"/>
    <w:rsid w:val="6D566F0F"/>
    <w:rsid w:val="6D836F72"/>
    <w:rsid w:val="6D944C6F"/>
    <w:rsid w:val="6DDE3DAF"/>
    <w:rsid w:val="6E3241BE"/>
    <w:rsid w:val="6E92081A"/>
    <w:rsid w:val="6EB97A9D"/>
    <w:rsid w:val="6EF10A90"/>
    <w:rsid w:val="6EF77781"/>
    <w:rsid w:val="6F7F3578"/>
    <w:rsid w:val="6F932AF0"/>
    <w:rsid w:val="6FA020C5"/>
    <w:rsid w:val="6FA71DBC"/>
    <w:rsid w:val="6FFF1868"/>
    <w:rsid w:val="715F4C2D"/>
    <w:rsid w:val="71605362"/>
    <w:rsid w:val="71733BEC"/>
    <w:rsid w:val="71C020E8"/>
    <w:rsid w:val="722F78FB"/>
    <w:rsid w:val="723D67C5"/>
    <w:rsid w:val="72BF60CA"/>
    <w:rsid w:val="72F41282"/>
    <w:rsid w:val="730336CA"/>
    <w:rsid w:val="733D0D32"/>
    <w:rsid w:val="73984EC1"/>
    <w:rsid w:val="73D411F1"/>
    <w:rsid w:val="73F0682F"/>
    <w:rsid w:val="744E0E29"/>
    <w:rsid w:val="753811DE"/>
    <w:rsid w:val="75A854A2"/>
    <w:rsid w:val="75BE67D4"/>
    <w:rsid w:val="75C2004C"/>
    <w:rsid w:val="75C759C1"/>
    <w:rsid w:val="762D64F3"/>
    <w:rsid w:val="766B63D6"/>
    <w:rsid w:val="767E7EFF"/>
    <w:rsid w:val="77592FF4"/>
    <w:rsid w:val="775B4604"/>
    <w:rsid w:val="77C067C3"/>
    <w:rsid w:val="77F32708"/>
    <w:rsid w:val="783F569F"/>
    <w:rsid w:val="78911E31"/>
    <w:rsid w:val="7922350F"/>
    <w:rsid w:val="792B5470"/>
    <w:rsid w:val="798B394D"/>
    <w:rsid w:val="7A2A2BDF"/>
    <w:rsid w:val="7A9367CB"/>
    <w:rsid w:val="7AC62F94"/>
    <w:rsid w:val="7AF22571"/>
    <w:rsid w:val="7B69224B"/>
    <w:rsid w:val="7BE80F25"/>
    <w:rsid w:val="7C1127AC"/>
    <w:rsid w:val="7C1C35A7"/>
    <w:rsid w:val="7C45431D"/>
    <w:rsid w:val="7D3219D5"/>
    <w:rsid w:val="7DDD0501"/>
    <w:rsid w:val="7DE51372"/>
    <w:rsid w:val="7DFF100D"/>
    <w:rsid w:val="7E5E590F"/>
    <w:rsid w:val="7E935AFB"/>
    <w:rsid w:val="7EF30223"/>
    <w:rsid w:val="7F695915"/>
    <w:rsid w:val="7FC5602F"/>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1">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2"/>
    <w:semiHidden/>
    <w:unhideWhenUsed/>
    <w:qFormat/>
    <w:uiPriority w:val="99"/>
    <w:rPr>
      <w:rFonts w:ascii="宋体" w:eastAsia="宋体"/>
      <w:sz w:val="18"/>
      <w:szCs w:val="18"/>
    </w:rPr>
  </w:style>
  <w:style w:type="paragraph" w:styleId="11">
    <w:name w:val="annotation text"/>
    <w:basedOn w:val="1"/>
    <w:semiHidden/>
    <w:unhideWhenUsed/>
    <w:qFormat/>
    <w:uiPriority w:val="0"/>
    <w:pPr>
      <w:jc w:val="left"/>
    </w:pPr>
  </w:style>
  <w:style w:type="paragraph" w:styleId="12">
    <w:name w:val="Body Text"/>
    <w:basedOn w:val="1"/>
    <w:link w:val="26"/>
    <w:qFormat/>
    <w:uiPriority w:val="0"/>
    <w:pPr>
      <w:spacing w:after="120"/>
      <w:jc w:val="both"/>
    </w:pPr>
    <w:rPr>
      <w:rFonts w:eastAsia="MS Mincho"/>
      <w:lang w:val="zh-CN"/>
    </w:r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
    <w:link w:val="29"/>
    <w:unhideWhenUsed/>
    <w:qFormat/>
    <w:uiPriority w:val="99"/>
    <w:pPr>
      <w:tabs>
        <w:tab w:val="center" w:pos="4153"/>
        <w:tab w:val="right" w:pos="8306"/>
      </w:tabs>
      <w:snapToGrid w:val="0"/>
    </w:pPr>
    <w:rPr>
      <w:sz w:val="18"/>
      <w:szCs w:val="18"/>
      <w:lang w:val="zh-CN"/>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List 4"/>
    <w:basedOn w:val="6"/>
    <w:qFormat/>
    <w:uiPriority w:val="0"/>
    <w:pPr>
      <w:ind w:left="1418"/>
    </w:pPr>
  </w:style>
  <w:style w:type="paragraph" w:styleId="18">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qFormat/>
    <w:uiPriority w:val="99"/>
    <w:rPr>
      <w:color w:val="0000FF"/>
      <w:u w:val="single"/>
    </w:rPr>
  </w:style>
  <w:style w:type="character" w:customStyle="1" w:styleId="24">
    <w:name w:val="Heading 1 Char"/>
    <w:link w:val="2"/>
    <w:qFormat/>
    <w:uiPriority w:val="0"/>
    <w:rPr>
      <w:rFonts w:ascii="Helvetica" w:hAnsi="Helvetica" w:eastAsia="MS Mincho" w:cs="Times New Roman"/>
      <w:b/>
      <w:bCs/>
      <w:kern w:val="32"/>
      <w:sz w:val="28"/>
      <w:szCs w:val="32"/>
      <w:lang w:val="zh-CN" w:eastAsia="en-US"/>
    </w:rPr>
  </w:style>
  <w:style w:type="character" w:customStyle="1" w:styleId="25">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6">
    <w:name w:val="Body Text Char"/>
    <w:link w:val="12"/>
    <w:qFormat/>
    <w:uiPriority w:val="0"/>
    <w:rPr>
      <w:rFonts w:ascii="Times New Roman" w:hAnsi="Times New Roman" w:eastAsia="MS Mincho" w:cs="Times New Roman"/>
      <w:kern w:val="0"/>
      <w:sz w:val="20"/>
      <w:szCs w:val="24"/>
      <w:lang w:val="zh-CN" w:eastAsia="en-US"/>
    </w:rPr>
  </w:style>
  <w:style w:type="character" w:customStyle="1" w:styleId="27">
    <w:name w:val="Header Char"/>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Footer Char"/>
    <w:link w:val="15"/>
    <w:qFormat/>
    <w:uiPriority w:val="99"/>
    <w:rPr>
      <w:rFonts w:ascii="Times New Roman" w:hAnsi="Times New Roman" w:eastAsia="Times New Roman" w:cs="Times New Roman"/>
      <w:kern w:val="0"/>
      <w:sz w:val="18"/>
      <w:szCs w:val="18"/>
      <w:lang w:eastAsia="en-US"/>
    </w:rPr>
  </w:style>
  <w:style w:type="character" w:customStyle="1" w:styleId="30">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Document Map Char"/>
    <w:link w:val="10"/>
    <w:semiHidden/>
    <w:qFormat/>
    <w:uiPriority w:val="99"/>
    <w:rPr>
      <w:rFonts w:ascii="宋体" w:hAnsi="Times New Roman"/>
      <w:sz w:val="18"/>
      <w:szCs w:val="18"/>
      <w:lang w:eastAsia="en-US"/>
    </w:rPr>
  </w:style>
  <w:style w:type="paragraph" w:customStyle="1" w:styleId="33">
    <w:name w:val="B1"/>
    <w:basedOn w:val="8"/>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keepNext/>
      <w:keepLines/>
      <w:jc w:val="center"/>
    </w:pPr>
    <w:rPr>
      <w:rFonts w:ascii="Arial" w:hAnsi="Arial" w:eastAsia="宋体"/>
      <w:sz w:val="18"/>
      <w:szCs w:val="20"/>
      <w:lang w:val="en-GB"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9"/>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List Paragraph Char"/>
    <w:link w:val="31"/>
    <w:qFormat/>
    <w:uiPriority w:val="34"/>
    <w:rPr>
      <w:kern w:val="2"/>
      <w:sz w:val="21"/>
      <w:szCs w:val="22"/>
    </w:rPr>
  </w:style>
  <w:style w:type="character" w:customStyle="1" w:styleId="48">
    <w:name w:val="ZGSM"/>
    <w:qFormat/>
    <w:uiPriority w:val="0"/>
  </w:style>
  <w:style w:type="character" w:customStyle="1" w:styleId="49">
    <w:name w:val="Date Char"/>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Heading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qFormat/>
    <w:uiPriority w:val="0"/>
    <w:pPr>
      <w:ind w:left="851" w:hanging="851"/>
    </w:pPr>
  </w:style>
  <w:style w:type="character" w:customStyle="1" w:styleId="56">
    <w:name w:val="normaltextrun"/>
    <w:basedOn w:val="21"/>
    <w:qFormat/>
    <w:uiPriority w:val="0"/>
  </w:style>
  <w:style w:type="character" w:customStyle="1" w:styleId="57">
    <w:name w:val="eop"/>
    <w:basedOn w:val="21"/>
    <w:qFormat/>
    <w:uiPriority w:val="0"/>
  </w:style>
  <w:style w:type="paragraph" w:customStyle="1" w:styleId="58">
    <w:name w:val="paragraph"/>
    <w:basedOn w:val="1"/>
    <w:qFormat/>
    <w:uiPriority w:val="0"/>
    <w:pPr>
      <w:spacing w:before="100" w:beforeAutospacing="1" w:after="100" w:afterAutospacing="1"/>
    </w:pPr>
    <w:rPr>
      <w:rFonts w:eastAsia="Times New Roman"/>
      <w:sz w:val="24"/>
      <w:szCs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0">
    <w:name w:val="B2"/>
    <w:basedOn w:val="7"/>
    <w:qFormat/>
    <w:uiPriority w:val="0"/>
  </w:style>
  <w:style w:type="paragraph" w:customStyle="1" w:styleId="61">
    <w:name w:val="样式3"/>
    <w:basedOn w:val="31"/>
    <w:qFormat/>
    <w:uiPriority w:val="0"/>
    <w:pPr>
      <w:numPr>
        <w:ilvl w:val="1"/>
        <w:numId w:val="3"/>
      </w:numPr>
      <w:tabs>
        <w:tab w:val="left" w:pos="-840"/>
        <w:tab w:val="clear" w:pos="-1260"/>
      </w:tabs>
      <w:spacing w:after="120"/>
      <w:ind w:firstLine="0"/>
    </w:pPr>
    <w:rPr>
      <w:rFonts w:ascii="Times New Roman" w:hAnsi="Times New Roman" w:eastAsia="宋体" w:cs="Times New Roman"/>
      <w:sz w:val="20"/>
      <w:szCs w:val="24"/>
      <w:lang w:val="en-GB"/>
    </w:rPr>
  </w:style>
  <w:style w:type="paragraph" w:customStyle="1" w:styleId="62">
    <w:name w:val="B3"/>
    <w:basedOn w:val="6"/>
    <w:qFormat/>
    <w:uiPriority w:val="0"/>
  </w:style>
  <w:style w:type="table" w:customStyle="1" w:styleId="63">
    <w:name w:val="Table Grid5"/>
    <w:basedOn w:val="1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4">
    <w:name w:val="B4"/>
    <w:basedOn w:val="17"/>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2024-11-08T13:58:23Z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FFB5176DD3A4421EBB948A7705297399</vt:lpwstr>
  </property>
</Properties>
</file>